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6A72" w14:textId="4808B144"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09/30/2024</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108129EB"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2009F6" w:rsidRPr="002009F6">
        <w:rPr>
          <w:sz w:val="22"/>
        </w:rPr>
        <w:t>Li, Yisheng</w:t>
      </w:r>
    </w:p>
    <w:p w14:paraId="7FFF41C1" w14:textId="33523D28"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2009F6" w:rsidRPr="002009F6">
        <w:rPr>
          <w:sz w:val="22"/>
        </w:rPr>
        <w:t>YISHENG</w:t>
      </w:r>
    </w:p>
    <w:p w14:paraId="74873D9A" w14:textId="26657A0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2009F6" w:rsidRPr="002009F6">
        <w:t xml:space="preserve"> </w:t>
      </w:r>
      <w:r w:rsidR="002009F6" w:rsidRPr="002009F6">
        <w:rPr>
          <w:sz w:val="22"/>
        </w:rPr>
        <w:t>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2009F6" w:rsidRPr="00D3779E" w14:paraId="5CD50646" w14:textId="77777777" w:rsidTr="005F0B12">
        <w:trPr>
          <w:cantSplit/>
          <w:trHeight w:val="395"/>
        </w:trPr>
        <w:tc>
          <w:tcPr>
            <w:tcW w:w="5220" w:type="dxa"/>
            <w:tcBorders>
              <w:top w:val="single" w:sz="4" w:space="0" w:color="auto"/>
            </w:tcBorders>
          </w:tcPr>
          <w:p w14:paraId="3B0C531B" w14:textId="5C71823B" w:rsidR="002009F6" w:rsidRPr="00977FA5" w:rsidRDefault="002009F6" w:rsidP="002009F6">
            <w:pPr>
              <w:pStyle w:val="FormFieldCaption"/>
              <w:tabs>
                <w:tab w:val="clear" w:pos="270"/>
                <w:tab w:val="left" w:pos="3285"/>
              </w:tabs>
              <w:spacing w:before="20" w:after="20"/>
              <w:rPr>
                <w:sz w:val="22"/>
                <w:szCs w:val="22"/>
              </w:rPr>
            </w:pPr>
            <w:r>
              <w:rPr>
                <w:color w:val="000000"/>
                <w:sz w:val="22"/>
                <w:szCs w:val="22"/>
              </w:rPr>
              <w:t>Peking University, Beijing, China</w:t>
            </w:r>
          </w:p>
        </w:tc>
        <w:tc>
          <w:tcPr>
            <w:tcW w:w="1440" w:type="dxa"/>
            <w:tcBorders>
              <w:top w:val="single" w:sz="4" w:space="0" w:color="auto"/>
            </w:tcBorders>
          </w:tcPr>
          <w:p w14:paraId="62DD05C1" w14:textId="099DF05F" w:rsidR="002009F6" w:rsidRPr="00977FA5" w:rsidRDefault="002009F6" w:rsidP="002009F6">
            <w:pPr>
              <w:pStyle w:val="FormFieldCaption"/>
              <w:spacing w:before="20" w:after="20"/>
              <w:jc w:val="center"/>
              <w:rPr>
                <w:sz w:val="22"/>
                <w:szCs w:val="22"/>
              </w:rPr>
            </w:pPr>
            <w:r>
              <w:rPr>
                <w:color w:val="000000"/>
                <w:sz w:val="22"/>
                <w:szCs w:val="22"/>
              </w:rPr>
              <w:t xml:space="preserve">BS </w:t>
            </w:r>
          </w:p>
        </w:tc>
        <w:tc>
          <w:tcPr>
            <w:tcW w:w="1584" w:type="dxa"/>
            <w:tcBorders>
              <w:top w:val="single" w:sz="4" w:space="0" w:color="auto"/>
            </w:tcBorders>
          </w:tcPr>
          <w:p w14:paraId="543299E0" w14:textId="0B1B2550" w:rsidR="002009F6" w:rsidRPr="00977FA5" w:rsidRDefault="002009F6" w:rsidP="002009F6">
            <w:pPr>
              <w:pStyle w:val="FormFieldCaption"/>
              <w:spacing w:before="20" w:after="20"/>
              <w:jc w:val="center"/>
              <w:rPr>
                <w:sz w:val="22"/>
                <w:szCs w:val="22"/>
              </w:rPr>
            </w:pPr>
            <w:r>
              <w:rPr>
                <w:color w:val="000000"/>
                <w:sz w:val="22"/>
                <w:szCs w:val="22"/>
              </w:rPr>
              <w:t>  7/1991</w:t>
            </w:r>
          </w:p>
        </w:tc>
        <w:tc>
          <w:tcPr>
            <w:tcW w:w="2592" w:type="dxa"/>
            <w:tcBorders>
              <w:top w:val="single" w:sz="4" w:space="0" w:color="auto"/>
            </w:tcBorders>
          </w:tcPr>
          <w:p w14:paraId="7BC5582F" w14:textId="2B731567" w:rsidR="002009F6" w:rsidRPr="00977FA5" w:rsidRDefault="002009F6" w:rsidP="002009F6">
            <w:pPr>
              <w:pStyle w:val="FormFieldCaption"/>
              <w:spacing w:before="20" w:after="20"/>
              <w:rPr>
                <w:sz w:val="22"/>
                <w:szCs w:val="22"/>
              </w:rPr>
            </w:pPr>
            <w:r>
              <w:rPr>
                <w:color w:val="000000"/>
                <w:sz w:val="22"/>
                <w:szCs w:val="22"/>
              </w:rPr>
              <w:t>Probability &amp; Statistics  </w:t>
            </w:r>
          </w:p>
        </w:tc>
      </w:tr>
      <w:tr w:rsidR="002009F6" w:rsidRPr="00D3779E" w14:paraId="1515F345" w14:textId="77777777" w:rsidTr="005F0B12">
        <w:trPr>
          <w:cantSplit/>
          <w:trHeight w:val="395"/>
        </w:trPr>
        <w:tc>
          <w:tcPr>
            <w:tcW w:w="5220" w:type="dxa"/>
          </w:tcPr>
          <w:p w14:paraId="7DED23E7" w14:textId="7908D1C1" w:rsidR="002009F6" w:rsidRPr="00977FA5" w:rsidRDefault="002009F6" w:rsidP="002009F6">
            <w:pPr>
              <w:pStyle w:val="FormFieldCaption"/>
              <w:spacing w:before="20" w:after="20"/>
              <w:rPr>
                <w:sz w:val="22"/>
                <w:szCs w:val="22"/>
              </w:rPr>
            </w:pPr>
            <w:r>
              <w:rPr>
                <w:color w:val="000000"/>
                <w:sz w:val="22"/>
                <w:szCs w:val="22"/>
              </w:rPr>
              <w:t>Sun Yat-</w:t>
            </w:r>
            <w:proofErr w:type="spellStart"/>
            <w:r>
              <w:rPr>
                <w:color w:val="000000"/>
                <w:sz w:val="22"/>
                <w:szCs w:val="22"/>
              </w:rPr>
              <w:t>sen</w:t>
            </w:r>
            <w:proofErr w:type="spellEnd"/>
            <w:r>
              <w:rPr>
                <w:color w:val="000000"/>
                <w:sz w:val="22"/>
                <w:szCs w:val="22"/>
              </w:rPr>
              <w:t xml:space="preserve"> University, Guangzhou, China</w:t>
            </w:r>
          </w:p>
        </w:tc>
        <w:tc>
          <w:tcPr>
            <w:tcW w:w="1440" w:type="dxa"/>
          </w:tcPr>
          <w:p w14:paraId="0D874BFC" w14:textId="6263C1F0" w:rsidR="002009F6" w:rsidRPr="00977FA5" w:rsidRDefault="002009F6" w:rsidP="002009F6">
            <w:pPr>
              <w:pStyle w:val="FormFieldCaption"/>
              <w:spacing w:before="20" w:after="20"/>
              <w:jc w:val="center"/>
              <w:rPr>
                <w:sz w:val="22"/>
                <w:szCs w:val="22"/>
              </w:rPr>
            </w:pPr>
            <w:r>
              <w:rPr>
                <w:color w:val="000000"/>
                <w:sz w:val="22"/>
                <w:szCs w:val="22"/>
              </w:rPr>
              <w:t xml:space="preserve">MS </w:t>
            </w:r>
          </w:p>
        </w:tc>
        <w:tc>
          <w:tcPr>
            <w:tcW w:w="1584" w:type="dxa"/>
          </w:tcPr>
          <w:p w14:paraId="1A7AA7CA" w14:textId="2813F286" w:rsidR="002009F6" w:rsidRPr="00977FA5" w:rsidRDefault="002009F6" w:rsidP="002009F6">
            <w:pPr>
              <w:pStyle w:val="FormFieldCaption"/>
              <w:spacing w:before="20" w:after="20"/>
              <w:jc w:val="center"/>
              <w:rPr>
                <w:sz w:val="22"/>
                <w:szCs w:val="22"/>
              </w:rPr>
            </w:pPr>
            <w:r>
              <w:rPr>
                <w:color w:val="000000"/>
                <w:sz w:val="22"/>
                <w:szCs w:val="22"/>
              </w:rPr>
              <w:t>  6/1994</w:t>
            </w:r>
          </w:p>
        </w:tc>
        <w:tc>
          <w:tcPr>
            <w:tcW w:w="2592" w:type="dxa"/>
          </w:tcPr>
          <w:p w14:paraId="4CC74E5C" w14:textId="204BCC75" w:rsidR="002009F6" w:rsidRPr="00977FA5" w:rsidRDefault="002009F6" w:rsidP="002009F6">
            <w:pPr>
              <w:pStyle w:val="FormFieldCaption"/>
              <w:spacing w:before="20" w:after="20"/>
              <w:rPr>
                <w:sz w:val="22"/>
                <w:szCs w:val="22"/>
              </w:rPr>
            </w:pPr>
            <w:r>
              <w:rPr>
                <w:color w:val="000000"/>
                <w:sz w:val="22"/>
                <w:szCs w:val="22"/>
              </w:rPr>
              <w:t>Probability &amp; Statistics  </w:t>
            </w:r>
          </w:p>
        </w:tc>
      </w:tr>
      <w:tr w:rsidR="002009F6" w:rsidRPr="00D3779E" w14:paraId="51E27C1C" w14:textId="77777777" w:rsidTr="005F0B12">
        <w:trPr>
          <w:cantSplit/>
          <w:trHeight w:val="395"/>
        </w:trPr>
        <w:tc>
          <w:tcPr>
            <w:tcW w:w="5220" w:type="dxa"/>
          </w:tcPr>
          <w:p w14:paraId="66BC8FF0" w14:textId="16EF6CD0" w:rsidR="002009F6" w:rsidRPr="00977FA5" w:rsidRDefault="002009F6" w:rsidP="002009F6">
            <w:pPr>
              <w:pStyle w:val="FormFieldCaption"/>
              <w:spacing w:before="20" w:after="20"/>
              <w:rPr>
                <w:sz w:val="22"/>
                <w:szCs w:val="22"/>
              </w:rPr>
            </w:pPr>
            <w:r>
              <w:rPr>
                <w:color w:val="000000"/>
                <w:sz w:val="22"/>
                <w:szCs w:val="22"/>
              </w:rPr>
              <w:t>University of Toledo, Toledo, OH</w:t>
            </w:r>
          </w:p>
        </w:tc>
        <w:tc>
          <w:tcPr>
            <w:tcW w:w="1440" w:type="dxa"/>
          </w:tcPr>
          <w:p w14:paraId="6AEADABA" w14:textId="7A2E25E6" w:rsidR="002009F6" w:rsidRPr="00977FA5" w:rsidRDefault="002009F6" w:rsidP="002009F6">
            <w:pPr>
              <w:pStyle w:val="FormFieldCaption"/>
              <w:spacing w:before="20" w:after="20"/>
              <w:jc w:val="center"/>
              <w:rPr>
                <w:sz w:val="22"/>
                <w:szCs w:val="22"/>
              </w:rPr>
            </w:pPr>
            <w:r>
              <w:rPr>
                <w:color w:val="000000"/>
                <w:sz w:val="22"/>
                <w:szCs w:val="22"/>
              </w:rPr>
              <w:t xml:space="preserve">MS </w:t>
            </w:r>
          </w:p>
        </w:tc>
        <w:tc>
          <w:tcPr>
            <w:tcW w:w="1584" w:type="dxa"/>
          </w:tcPr>
          <w:p w14:paraId="4ED60B07" w14:textId="5770ED8D" w:rsidR="002009F6" w:rsidRPr="00977FA5" w:rsidRDefault="002009F6" w:rsidP="002009F6">
            <w:pPr>
              <w:pStyle w:val="FormFieldCaption"/>
              <w:spacing w:before="20" w:after="20"/>
              <w:jc w:val="center"/>
              <w:rPr>
                <w:sz w:val="22"/>
                <w:szCs w:val="22"/>
              </w:rPr>
            </w:pPr>
            <w:r>
              <w:rPr>
                <w:color w:val="000000"/>
                <w:sz w:val="22"/>
                <w:szCs w:val="22"/>
              </w:rPr>
              <w:t>  8/1998</w:t>
            </w:r>
          </w:p>
        </w:tc>
        <w:tc>
          <w:tcPr>
            <w:tcW w:w="2592" w:type="dxa"/>
          </w:tcPr>
          <w:p w14:paraId="2303550C" w14:textId="225623F3" w:rsidR="002009F6" w:rsidRPr="00977FA5" w:rsidRDefault="002009F6" w:rsidP="002009F6">
            <w:pPr>
              <w:pStyle w:val="FormFieldCaption"/>
              <w:spacing w:before="20" w:after="20"/>
              <w:rPr>
                <w:sz w:val="22"/>
                <w:szCs w:val="22"/>
              </w:rPr>
            </w:pPr>
            <w:r>
              <w:rPr>
                <w:color w:val="000000"/>
                <w:sz w:val="22"/>
                <w:szCs w:val="22"/>
              </w:rPr>
              <w:t>Statistics  </w:t>
            </w:r>
          </w:p>
        </w:tc>
      </w:tr>
      <w:tr w:rsidR="002009F6" w:rsidRPr="00D3779E" w14:paraId="09D52645" w14:textId="77777777" w:rsidTr="005F0B12">
        <w:trPr>
          <w:cantSplit/>
          <w:trHeight w:val="395"/>
        </w:trPr>
        <w:tc>
          <w:tcPr>
            <w:tcW w:w="5220" w:type="dxa"/>
          </w:tcPr>
          <w:p w14:paraId="76A4F390" w14:textId="5DADE011" w:rsidR="002009F6" w:rsidRPr="00977FA5" w:rsidRDefault="002009F6" w:rsidP="002009F6">
            <w:pPr>
              <w:pStyle w:val="FormFieldCaption"/>
              <w:spacing w:before="20" w:after="20"/>
              <w:rPr>
                <w:sz w:val="22"/>
                <w:szCs w:val="22"/>
              </w:rPr>
            </w:pPr>
            <w:r>
              <w:rPr>
                <w:color w:val="000000"/>
                <w:sz w:val="22"/>
                <w:szCs w:val="22"/>
              </w:rPr>
              <w:t>University of Michigan, Ann Arbor, MI</w:t>
            </w:r>
          </w:p>
        </w:tc>
        <w:tc>
          <w:tcPr>
            <w:tcW w:w="1440" w:type="dxa"/>
          </w:tcPr>
          <w:p w14:paraId="3120D72C" w14:textId="7279CE41" w:rsidR="002009F6" w:rsidRPr="00977FA5" w:rsidRDefault="002009F6" w:rsidP="002009F6">
            <w:pPr>
              <w:pStyle w:val="FormFieldCaption"/>
              <w:spacing w:before="20" w:after="20"/>
              <w:jc w:val="center"/>
              <w:rPr>
                <w:sz w:val="22"/>
                <w:szCs w:val="22"/>
              </w:rPr>
            </w:pPr>
            <w:r>
              <w:rPr>
                <w:color w:val="000000"/>
                <w:sz w:val="22"/>
                <w:szCs w:val="22"/>
              </w:rPr>
              <w:t xml:space="preserve">PHD </w:t>
            </w:r>
          </w:p>
        </w:tc>
        <w:tc>
          <w:tcPr>
            <w:tcW w:w="1584" w:type="dxa"/>
          </w:tcPr>
          <w:p w14:paraId="53EB7033" w14:textId="45EA8AE6" w:rsidR="002009F6" w:rsidRPr="00977FA5" w:rsidRDefault="002009F6" w:rsidP="002009F6">
            <w:pPr>
              <w:pStyle w:val="FormFieldCaption"/>
              <w:spacing w:before="20" w:after="20"/>
              <w:jc w:val="center"/>
              <w:rPr>
                <w:sz w:val="22"/>
                <w:szCs w:val="22"/>
              </w:rPr>
            </w:pPr>
            <w:r>
              <w:rPr>
                <w:color w:val="000000"/>
                <w:sz w:val="22"/>
                <w:szCs w:val="22"/>
              </w:rPr>
              <w:t>  12/2003</w:t>
            </w:r>
          </w:p>
        </w:tc>
        <w:tc>
          <w:tcPr>
            <w:tcW w:w="2592" w:type="dxa"/>
          </w:tcPr>
          <w:p w14:paraId="4418E34F" w14:textId="51DF79FD" w:rsidR="002009F6" w:rsidRPr="00977FA5" w:rsidRDefault="002009F6" w:rsidP="002009F6">
            <w:pPr>
              <w:pStyle w:val="FormFieldCaption"/>
              <w:spacing w:before="20" w:after="20"/>
              <w:rPr>
                <w:sz w:val="22"/>
                <w:szCs w:val="22"/>
              </w:rPr>
            </w:pPr>
            <w:r>
              <w:rPr>
                <w:color w:val="000000"/>
                <w:sz w:val="22"/>
                <w:szCs w:val="22"/>
              </w:rPr>
              <w:t>Biostatistics  </w:t>
            </w:r>
          </w:p>
        </w:tc>
      </w:tr>
    </w:tbl>
    <w:p w14:paraId="1695BFF0" w14:textId="77777777" w:rsidR="002C51BC" w:rsidRDefault="002C51BC" w:rsidP="00FC5F9E"/>
    <w:p w14:paraId="11D0598E" w14:textId="3F45565E" w:rsidR="002009F6" w:rsidRPr="00A128A0" w:rsidRDefault="002C51BC" w:rsidP="002C51BC">
      <w:pPr>
        <w:pStyle w:val="DataField11pt-Single"/>
        <w:rPr>
          <w:rStyle w:val="Strong"/>
        </w:rPr>
      </w:pPr>
      <w:r w:rsidRPr="00A128A0">
        <w:rPr>
          <w:rStyle w:val="Strong"/>
        </w:rPr>
        <w:t>A.</w:t>
      </w:r>
      <w:r w:rsidRPr="00A128A0">
        <w:rPr>
          <w:rStyle w:val="Strong"/>
        </w:rPr>
        <w:tab/>
        <w:t>Personal Statement</w:t>
      </w:r>
    </w:p>
    <w:tbl>
      <w:tblPr>
        <w:tblW w:w="5000" w:type="pct"/>
        <w:tblCellSpacing w:w="15" w:type="dxa"/>
        <w:tblLayout w:type="fixed"/>
        <w:tblCellMar>
          <w:left w:w="0" w:type="dxa"/>
          <w:right w:w="0" w:type="dxa"/>
        </w:tblCellMar>
        <w:tblLook w:val="04A0" w:firstRow="1" w:lastRow="0" w:firstColumn="1" w:lastColumn="0" w:noHBand="0" w:noVBand="1"/>
      </w:tblPr>
      <w:tblGrid>
        <w:gridCol w:w="10800"/>
      </w:tblGrid>
      <w:tr w:rsidR="002009F6" w14:paraId="0604ED33" w14:textId="77777777" w:rsidTr="00FB676A">
        <w:trPr>
          <w:tblCellSpacing w:w="15" w:type="dxa"/>
        </w:trPr>
        <w:tc>
          <w:tcPr>
            <w:tcW w:w="10740" w:type="dxa"/>
            <w:vAlign w:val="center"/>
            <w:hideMark/>
          </w:tcPr>
          <w:p w14:paraId="04CEA87B" w14:textId="74B263D7" w:rsidR="002009F6" w:rsidRDefault="00706525" w:rsidP="00760202">
            <w:pPr>
              <w:rPr>
                <w:rFonts w:cs="Arial"/>
                <w:color w:val="000000"/>
                <w:szCs w:val="22"/>
              </w:rPr>
            </w:pPr>
            <w:r w:rsidRPr="00706525">
              <w:rPr>
                <w:rFonts w:cs="Arial"/>
                <w:color w:val="000000"/>
                <w:szCs w:val="22"/>
              </w:rPr>
              <w:t xml:space="preserve">I have a broad background in biostatistics, with specific expertise in Bayesian adaptive clinical trial design, </w:t>
            </w:r>
            <w:r w:rsidR="001D7494" w:rsidRPr="001D7494">
              <w:rPr>
                <w:rFonts w:cs="Arial"/>
                <w:color w:val="000000"/>
                <w:szCs w:val="22"/>
              </w:rPr>
              <w:t xml:space="preserve">longitudinal data analysis and study design, </w:t>
            </w:r>
            <w:r w:rsidRPr="00706525">
              <w:rPr>
                <w:rFonts w:cs="Arial"/>
                <w:color w:val="000000"/>
                <w:szCs w:val="22"/>
              </w:rPr>
              <w:t xml:space="preserve">Bayesian </w:t>
            </w:r>
            <w:proofErr w:type="spellStart"/>
            <w:r w:rsidRPr="00706525">
              <w:rPr>
                <w:rFonts w:cs="Arial"/>
                <w:color w:val="000000"/>
                <w:szCs w:val="22"/>
              </w:rPr>
              <w:t>nonparametrics</w:t>
            </w:r>
            <w:proofErr w:type="spellEnd"/>
            <w:r w:rsidRPr="00706525">
              <w:rPr>
                <w:rFonts w:cs="Arial"/>
                <w:color w:val="000000"/>
                <w:szCs w:val="22"/>
              </w:rPr>
              <w:t xml:space="preserve">, missing data methods, and statistical mediation analysis. </w:t>
            </w:r>
            <w:r w:rsidR="001A645E">
              <w:rPr>
                <w:rFonts w:cs="Arial"/>
                <w:color w:val="000000"/>
                <w:szCs w:val="22"/>
              </w:rPr>
              <w:t>I have a track record of developing innovative Bayesian adaptive clinical trial design methodology</w:t>
            </w:r>
            <w:r w:rsidR="00FC1B6F">
              <w:rPr>
                <w:rFonts w:cs="Arial"/>
                <w:color w:val="000000"/>
                <w:szCs w:val="22"/>
              </w:rPr>
              <w:t xml:space="preserve"> (having </w:t>
            </w:r>
            <w:r w:rsidR="00EE7767">
              <w:rPr>
                <w:rFonts w:cs="Arial"/>
                <w:color w:val="000000"/>
                <w:szCs w:val="22"/>
              </w:rPr>
              <w:t>published over 10 methodological papers in this area</w:t>
            </w:r>
            <w:r w:rsidR="00FC1B6F">
              <w:rPr>
                <w:rFonts w:cs="Arial"/>
                <w:color w:val="000000"/>
                <w:szCs w:val="22"/>
              </w:rPr>
              <w:t>)</w:t>
            </w:r>
            <w:r w:rsidR="001A645E">
              <w:rPr>
                <w:rFonts w:cs="Arial"/>
                <w:color w:val="000000"/>
                <w:szCs w:val="22"/>
              </w:rPr>
              <w:t xml:space="preserve">. </w:t>
            </w:r>
            <w:r w:rsidRPr="00706525">
              <w:rPr>
                <w:rFonts w:cs="Arial"/>
                <w:color w:val="000000"/>
                <w:szCs w:val="22"/>
              </w:rPr>
              <w:t>I currently serve as Co-Director of the Biostatistics and Bioinformatics Core of the MD Anderson Hepatocellular Carcinoma (HCC) SPORE</w:t>
            </w:r>
            <w:r w:rsidR="00754353">
              <w:t xml:space="preserve"> (</w:t>
            </w:r>
            <w:r w:rsidR="00754353" w:rsidRPr="00754353">
              <w:rPr>
                <w:rFonts w:cs="Arial"/>
                <w:color w:val="000000"/>
                <w:szCs w:val="22"/>
              </w:rPr>
              <w:t>P50CA217674</w:t>
            </w:r>
            <w:r w:rsidR="00754353">
              <w:rPr>
                <w:rFonts w:cs="Arial"/>
                <w:color w:val="000000"/>
                <w:szCs w:val="22"/>
              </w:rPr>
              <w:t>)</w:t>
            </w:r>
            <w:r w:rsidRPr="00706525">
              <w:rPr>
                <w:rFonts w:cs="Arial"/>
                <w:color w:val="000000"/>
                <w:szCs w:val="22"/>
              </w:rPr>
              <w:t>. I have also served as a co-investigator or primary statistician on over 75 other externally-funded (in particular, NIH-funded) grants in behavioral science, health disparities research, and clinical trials, including as Director of the Biostatistics and Data Management Core of a P60 Center of Excellence Grant</w:t>
            </w:r>
            <w:r w:rsidR="00954024">
              <w:rPr>
                <w:rFonts w:cs="Arial"/>
                <w:color w:val="000000"/>
                <w:szCs w:val="22"/>
              </w:rPr>
              <w:t xml:space="preserve"> </w:t>
            </w:r>
            <w:r w:rsidR="00954024" w:rsidRPr="00954024">
              <w:rPr>
                <w:rFonts w:cs="Arial"/>
                <w:color w:val="000000"/>
                <w:szCs w:val="22"/>
              </w:rPr>
              <w:t>(P60 MD000503)</w:t>
            </w:r>
            <w:r w:rsidRPr="00706525">
              <w:rPr>
                <w:rFonts w:cs="Arial"/>
                <w:color w:val="000000"/>
                <w:szCs w:val="22"/>
              </w:rPr>
              <w:t>, and a primary statistician in a Stand Up To Cancer (SU2C) Dream Team Translational Research Grant</w:t>
            </w:r>
            <w:r w:rsidR="00954024">
              <w:rPr>
                <w:rFonts w:cs="Arial"/>
                <w:color w:val="000000"/>
                <w:szCs w:val="22"/>
              </w:rPr>
              <w:t xml:space="preserve"> </w:t>
            </w:r>
            <w:r w:rsidR="00954024" w:rsidRPr="00954024">
              <w:rPr>
                <w:rFonts w:cs="Arial"/>
                <w:color w:val="000000"/>
                <w:szCs w:val="22"/>
              </w:rPr>
              <w:t>(SU2C-AACR-DT0209)</w:t>
            </w:r>
            <w:r w:rsidRPr="00706525">
              <w:rPr>
                <w:rFonts w:cs="Arial"/>
                <w:color w:val="000000"/>
                <w:szCs w:val="22"/>
              </w:rPr>
              <w:t>.  I have overseen the statistical design, conduct and analysis, and assisted in the interpretation of analysis results and preparation of manuscripts, in the above</w:t>
            </w:r>
            <w:r w:rsidR="005B32ED">
              <w:rPr>
                <w:rFonts w:cs="Arial"/>
                <w:color w:val="000000"/>
                <w:szCs w:val="22"/>
              </w:rPr>
              <w:t>-</w:t>
            </w:r>
            <w:r w:rsidRPr="00706525">
              <w:rPr>
                <w:rFonts w:cs="Arial"/>
                <w:color w:val="000000"/>
                <w:szCs w:val="22"/>
              </w:rPr>
              <w:t xml:space="preserve">mentioned collaborative projects. </w:t>
            </w:r>
            <w:r w:rsidR="00745D51" w:rsidRPr="00745D51">
              <w:rPr>
                <w:rFonts w:cs="Arial"/>
                <w:color w:val="000000"/>
                <w:szCs w:val="22"/>
              </w:rPr>
              <w:t xml:space="preserve">I have </w:t>
            </w:r>
            <w:r w:rsidR="001D7494">
              <w:rPr>
                <w:rFonts w:cs="Arial"/>
                <w:color w:val="000000"/>
                <w:szCs w:val="22"/>
              </w:rPr>
              <w:t xml:space="preserve">previously collaborated with </w:t>
            </w:r>
            <w:r w:rsidR="00745D51" w:rsidRPr="00745D51">
              <w:rPr>
                <w:rFonts w:cs="Arial"/>
                <w:color w:val="000000"/>
                <w:szCs w:val="22"/>
              </w:rPr>
              <w:t xml:space="preserve">Dr. </w:t>
            </w:r>
            <w:r w:rsidR="001D7494">
              <w:rPr>
                <w:rFonts w:cs="Arial"/>
                <w:color w:val="000000"/>
                <w:szCs w:val="22"/>
              </w:rPr>
              <w:t>Ludwig in a study</w:t>
            </w:r>
            <w:r w:rsidR="001A645E">
              <w:rPr>
                <w:rFonts w:cs="Arial"/>
                <w:color w:val="000000"/>
                <w:szCs w:val="22"/>
              </w:rPr>
              <w:t xml:space="preserve"> on which he was</w:t>
            </w:r>
            <w:r w:rsidR="001D7494">
              <w:rPr>
                <w:rFonts w:cs="Arial"/>
                <w:color w:val="000000"/>
                <w:szCs w:val="22"/>
              </w:rPr>
              <w:t xml:space="preserve"> a PI. </w:t>
            </w:r>
            <w:r w:rsidR="001B645F" w:rsidRPr="001B645F">
              <w:rPr>
                <w:rFonts w:cs="Arial"/>
                <w:color w:val="000000"/>
                <w:szCs w:val="22"/>
              </w:rPr>
              <w:t xml:space="preserve">I will </w:t>
            </w:r>
            <w:r w:rsidR="00745D51">
              <w:rPr>
                <w:rFonts w:cs="Arial"/>
                <w:color w:val="000000"/>
                <w:szCs w:val="22"/>
              </w:rPr>
              <w:t xml:space="preserve">serve as a Co-I </w:t>
            </w:r>
            <w:r w:rsidR="00EA4A5D">
              <w:rPr>
                <w:rFonts w:cs="Arial"/>
                <w:color w:val="000000"/>
                <w:szCs w:val="22"/>
              </w:rPr>
              <w:t xml:space="preserve">on the current study </w:t>
            </w:r>
            <w:r w:rsidR="00745D51">
              <w:rPr>
                <w:rFonts w:cs="Arial"/>
                <w:color w:val="000000"/>
                <w:szCs w:val="22"/>
              </w:rPr>
              <w:t xml:space="preserve">by </w:t>
            </w:r>
            <w:r w:rsidR="001A645E">
              <w:rPr>
                <w:rFonts w:cs="Arial"/>
                <w:color w:val="000000"/>
                <w:szCs w:val="22"/>
              </w:rPr>
              <w:t>overseeing Bayesian adaptive design for the platform trial, data analysis,</w:t>
            </w:r>
            <w:r w:rsidR="00745D51">
              <w:rPr>
                <w:rFonts w:cs="Arial"/>
                <w:color w:val="000000"/>
                <w:szCs w:val="22"/>
              </w:rPr>
              <w:t xml:space="preserve"> and assistance with manuscript publication</w:t>
            </w:r>
            <w:r w:rsidR="00EE7047">
              <w:rPr>
                <w:rFonts w:cs="Arial"/>
                <w:color w:val="000000"/>
                <w:szCs w:val="22"/>
              </w:rPr>
              <w:t>s</w:t>
            </w:r>
            <w:r w:rsidR="001B645F" w:rsidRPr="001B645F">
              <w:rPr>
                <w:rFonts w:cs="Arial"/>
                <w:color w:val="000000"/>
                <w:szCs w:val="22"/>
              </w:rPr>
              <w:t>.</w:t>
            </w:r>
            <w:r w:rsidRPr="00706525">
              <w:rPr>
                <w:rFonts w:cs="Arial"/>
                <w:color w:val="000000"/>
                <w:szCs w:val="22"/>
              </w:rPr>
              <w:t xml:space="preserve"> </w:t>
            </w:r>
          </w:p>
          <w:p w14:paraId="7B8CF783" w14:textId="77777777" w:rsidR="00202702" w:rsidRDefault="00202702" w:rsidP="00760202">
            <w:pPr>
              <w:rPr>
                <w:rFonts w:cs="Arial"/>
                <w:color w:val="000000"/>
                <w:szCs w:val="22"/>
              </w:rPr>
            </w:pPr>
          </w:p>
          <w:p w14:paraId="5DA7DAB1" w14:textId="77777777" w:rsidR="001B645F" w:rsidRPr="00225136" w:rsidRDefault="001B645F" w:rsidP="001B645F">
            <w:pPr>
              <w:rPr>
                <w:rFonts w:cs="Arial"/>
                <w:b/>
                <w:color w:val="000000"/>
                <w:szCs w:val="22"/>
              </w:rPr>
            </w:pPr>
            <w:r w:rsidRPr="00225136">
              <w:rPr>
                <w:rFonts w:cs="Arial"/>
                <w:b/>
                <w:color w:val="000000"/>
                <w:szCs w:val="22"/>
              </w:rPr>
              <w:t>Ongoing and recently completed projects that I would like to highlight include:</w:t>
            </w:r>
          </w:p>
          <w:p w14:paraId="0B7DAFAA" w14:textId="77777777" w:rsidR="001B645F" w:rsidRPr="00225136" w:rsidRDefault="001B645F" w:rsidP="001B645F">
            <w:pPr>
              <w:rPr>
                <w:rFonts w:cs="Arial"/>
                <w:color w:val="000000"/>
                <w:szCs w:val="22"/>
              </w:rPr>
            </w:pPr>
          </w:p>
          <w:p w14:paraId="6FC8CDCB" w14:textId="77777777" w:rsidR="001B645F" w:rsidRPr="006A49C1" w:rsidRDefault="001B645F" w:rsidP="001B645F">
            <w:pPr>
              <w:rPr>
                <w:rFonts w:cs="Arial"/>
                <w:color w:val="000000"/>
                <w:szCs w:val="22"/>
              </w:rPr>
            </w:pPr>
            <w:r w:rsidRPr="006A49C1">
              <w:rPr>
                <w:rFonts w:cs="Arial"/>
                <w:color w:val="000000"/>
                <w:szCs w:val="22"/>
              </w:rPr>
              <w:t>5P50CA217674-04</w:t>
            </w:r>
          </w:p>
          <w:p w14:paraId="058BD811" w14:textId="36F2D3FE" w:rsidR="001B645F" w:rsidRPr="006A49C1" w:rsidRDefault="001B645F" w:rsidP="001B645F">
            <w:pPr>
              <w:rPr>
                <w:rFonts w:cs="Arial"/>
                <w:color w:val="000000"/>
                <w:szCs w:val="22"/>
              </w:rPr>
            </w:pPr>
            <w:r w:rsidRPr="006A49C1">
              <w:rPr>
                <w:rFonts w:cs="Arial"/>
                <w:color w:val="000000"/>
                <w:szCs w:val="22"/>
              </w:rPr>
              <w:t>Beretta (PI), Role: Co-Director</w:t>
            </w:r>
            <w:r>
              <w:rPr>
                <w:rFonts w:cs="Arial"/>
                <w:color w:val="000000"/>
                <w:szCs w:val="22"/>
              </w:rPr>
              <w:t xml:space="preserve"> of Biostatistics and Bioinformatics Core</w:t>
            </w:r>
          </w:p>
          <w:p w14:paraId="60ECA644" w14:textId="6A9D80FF" w:rsidR="001B645F" w:rsidRPr="006A49C1" w:rsidRDefault="001B645F" w:rsidP="001B645F">
            <w:pPr>
              <w:rPr>
                <w:rFonts w:cs="Arial"/>
                <w:color w:val="000000"/>
                <w:szCs w:val="22"/>
              </w:rPr>
            </w:pPr>
            <w:r w:rsidRPr="006A49C1">
              <w:rPr>
                <w:rFonts w:cs="Arial"/>
                <w:color w:val="000000"/>
                <w:szCs w:val="22"/>
              </w:rPr>
              <w:t>9/25/</w:t>
            </w:r>
            <w:r w:rsidR="002739FB">
              <w:rPr>
                <w:rFonts w:cs="Arial"/>
                <w:color w:val="000000"/>
                <w:szCs w:val="22"/>
              </w:rPr>
              <w:t>20</w:t>
            </w:r>
            <w:r w:rsidRPr="006A49C1">
              <w:rPr>
                <w:rFonts w:cs="Arial"/>
                <w:color w:val="000000"/>
                <w:szCs w:val="22"/>
              </w:rPr>
              <w:t>19-8/31/</w:t>
            </w:r>
            <w:r w:rsidR="002739FB">
              <w:rPr>
                <w:rFonts w:cs="Arial"/>
                <w:color w:val="000000"/>
                <w:szCs w:val="22"/>
              </w:rPr>
              <w:t>20</w:t>
            </w:r>
            <w:r w:rsidRPr="006A49C1">
              <w:rPr>
                <w:rFonts w:cs="Arial"/>
                <w:color w:val="000000"/>
                <w:szCs w:val="22"/>
              </w:rPr>
              <w:t>24</w:t>
            </w:r>
          </w:p>
          <w:p w14:paraId="67501365" w14:textId="7222DB69" w:rsidR="002739FB" w:rsidRDefault="001B645F" w:rsidP="002739FB">
            <w:pPr>
              <w:rPr>
                <w:rFonts w:cs="Arial"/>
                <w:color w:val="000000"/>
                <w:szCs w:val="22"/>
              </w:rPr>
            </w:pPr>
            <w:r w:rsidRPr="006A49C1">
              <w:rPr>
                <w:rFonts w:cs="Arial"/>
                <w:color w:val="000000"/>
                <w:szCs w:val="22"/>
              </w:rPr>
              <w:t>The University of Texas MD Anderson Cancer Center SPORE in Hepatocellular Carcinoma</w:t>
            </w:r>
          </w:p>
        </w:tc>
      </w:tr>
    </w:tbl>
    <w:p w14:paraId="4E1F882A" w14:textId="77777777" w:rsidR="002C51BC" w:rsidRDefault="002C51BC" w:rsidP="002C51BC">
      <w:pPr>
        <w:pStyle w:val="DataField11pt-Single"/>
        <w:rPr>
          <w:rStyle w:val="Strong"/>
        </w:rPr>
      </w:pPr>
    </w:p>
    <w:p w14:paraId="1DA5AFA1" w14:textId="77777777" w:rsidR="004C0149" w:rsidRDefault="004C0149" w:rsidP="004C0149">
      <w:pPr>
        <w:rPr>
          <w:rFonts w:cs="Arial"/>
          <w:color w:val="000000"/>
          <w:szCs w:val="22"/>
        </w:rPr>
      </w:pPr>
      <w:r w:rsidRPr="000270E5">
        <w:rPr>
          <w:rFonts w:cs="Arial"/>
          <w:b/>
          <w:color w:val="000000"/>
          <w:szCs w:val="22"/>
        </w:rPr>
        <w:t>Citations</w:t>
      </w:r>
      <w:r>
        <w:rPr>
          <w:rFonts w:cs="Arial"/>
          <w:color w:val="000000"/>
          <w:szCs w:val="22"/>
        </w:rPr>
        <w:t>:</w:t>
      </w:r>
    </w:p>
    <w:p w14:paraId="784F6982" w14:textId="77777777" w:rsidR="004C0149" w:rsidRDefault="004C0149" w:rsidP="004C0149">
      <w:pPr>
        <w:rPr>
          <w:rFonts w:cs="Arial"/>
          <w:color w:val="000000"/>
          <w:szCs w:val="22"/>
        </w:rPr>
      </w:pPr>
    </w:p>
    <w:tbl>
      <w:tblPr>
        <w:tblW w:w="5000" w:type="pct"/>
        <w:tblCellSpacing w:w="15" w:type="dxa"/>
        <w:tblCellMar>
          <w:left w:w="0" w:type="dxa"/>
          <w:right w:w="0" w:type="dxa"/>
        </w:tblCellMar>
        <w:tblLook w:val="04A0" w:firstRow="1" w:lastRow="0" w:firstColumn="1" w:lastColumn="0" w:noHBand="0" w:noVBand="1"/>
      </w:tblPr>
      <w:tblGrid>
        <w:gridCol w:w="229"/>
        <w:gridCol w:w="10571"/>
      </w:tblGrid>
      <w:tr w:rsidR="004C0149" w14:paraId="19E2DD52" w14:textId="77777777" w:rsidTr="00F44A8B">
        <w:trPr>
          <w:tblCellSpacing w:w="15" w:type="dxa"/>
        </w:trPr>
        <w:tc>
          <w:tcPr>
            <w:tcW w:w="0" w:type="auto"/>
            <w:hideMark/>
          </w:tcPr>
          <w:p w14:paraId="198F9F02" w14:textId="77777777" w:rsidR="004C0149" w:rsidRPr="00225136" w:rsidRDefault="004C0149" w:rsidP="00F44A8B">
            <w:pPr>
              <w:rPr>
                <w:rFonts w:cs="Arial"/>
                <w:color w:val="000000"/>
                <w:szCs w:val="22"/>
              </w:rPr>
            </w:pPr>
            <w:r>
              <w:rPr>
                <w:rFonts w:cs="Arial"/>
                <w:color w:val="000000"/>
                <w:szCs w:val="22"/>
              </w:rPr>
              <w:t>1</w:t>
            </w:r>
            <w:r w:rsidRPr="00225136">
              <w:rPr>
                <w:rFonts w:cs="Arial"/>
                <w:color w:val="000000"/>
                <w:szCs w:val="22"/>
              </w:rPr>
              <w:t>.</w:t>
            </w:r>
          </w:p>
        </w:tc>
        <w:tc>
          <w:tcPr>
            <w:tcW w:w="0" w:type="auto"/>
            <w:vAlign w:val="center"/>
            <w:hideMark/>
          </w:tcPr>
          <w:p w14:paraId="35D3D017" w14:textId="37E5EC56" w:rsidR="00C4689E" w:rsidRPr="002C4FD7" w:rsidRDefault="002C4FD7" w:rsidP="00C4689E">
            <w:pPr>
              <w:rPr>
                <w:rFonts w:cs="Arial"/>
                <w:color w:val="000000"/>
                <w:szCs w:val="22"/>
              </w:rPr>
            </w:pPr>
            <w:r w:rsidRPr="002C4FD7">
              <w:rPr>
                <w:rFonts w:cs="Arial"/>
                <w:color w:val="000000"/>
                <w:szCs w:val="22"/>
              </w:rPr>
              <w:t xml:space="preserve">Yin G, </w:t>
            </w:r>
            <w:r w:rsidRPr="002C4FD7">
              <w:rPr>
                <w:rFonts w:cs="Arial"/>
                <w:b/>
                <w:bCs/>
                <w:color w:val="000000"/>
                <w:szCs w:val="22"/>
              </w:rPr>
              <w:t>Li Y</w:t>
            </w:r>
            <w:r w:rsidRPr="002C4FD7">
              <w:rPr>
                <w:rFonts w:cs="Arial"/>
                <w:color w:val="000000"/>
                <w:szCs w:val="22"/>
              </w:rPr>
              <w:t>, Ji Y. Bayesian dose-finding in phase I/II clinical trials using toxicity and efficacy odds ratios. Biometrics 62(3):777-787, 2006. PMID: 16984320.</w:t>
            </w:r>
          </w:p>
        </w:tc>
      </w:tr>
      <w:tr w:rsidR="00D53134" w14:paraId="42A73486" w14:textId="77777777" w:rsidTr="00F44A8B">
        <w:trPr>
          <w:tblCellSpacing w:w="15" w:type="dxa"/>
        </w:trPr>
        <w:tc>
          <w:tcPr>
            <w:tcW w:w="0" w:type="auto"/>
          </w:tcPr>
          <w:p w14:paraId="62EC5AE3" w14:textId="000ACA42" w:rsidR="00D53134" w:rsidRDefault="00D53134" w:rsidP="00F44A8B">
            <w:pPr>
              <w:rPr>
                <w:rFonts w:cs="Arial"/>
                <w:color w:val="000000"/>
                <w:szCs w:val="22"/>
              </w:rPr>
            </w:pPr>
            <w:r>
              <w:rPr>
                <w:rFonts w:cs="Arial"/>
                <w:color w:val="000000"/>
                <w:szCs w:val="22"/>
              </w:rPr>
              <w:t>2.</w:t>
            </w:r>
          </w:p>
        </w:tc>
        <w:tc>
          <w:tcPr>
            <w:tcW w:w="0" w:type="auto"/>
            <w:vAlign w:val="center"/>
          </w:tcPr>
          <w:p w14:paraId="2067A164" w14:textId="1911AF3D" w:rsidR="00D53134" w:rsidRPr="00CE32DB" w:rsidRDefault="00D53134" w:rsidP="00F44A8B">
            <w:pPr>
              <w:rPr>
                <w:rFonts w:cs="Arial"/>
                <w:color w:val="000000"/>
                <w:szCs w:val="22"/>
              </w:rPr>
            </w:pPr>
            <w:r w:rsidRPr="00D53134">
              <w:rPr>
                <w:rFonts w:cs="Arial"/>
                <w:b/>
                <w:bCs/>
                <w:color w:val="000000"/>
                <w:szCs w:val="22"/>
              </w:rPr>
              <w:t>Li Y</w:t>
            </w:r>
            <w:r w:rsidRPr="00D53134">
              <w:rPr>
                <w:rFonts w:cs="Arial"/>
                <w:color w:val="000000"/>
                <w:szCs w:val="22"/>
              </w:rPr>
              <w:t>, Bekele BN, Ji Y, Cook JD. Dose-schedule finding in phase I/II clinical trials using a Bayesian isotonic transformation. Statistics in Medicine 27(24):4895-913, 2008. PMCID: PMC4562497.</w:t>
            </w:r>
          </w:p>
        </w:tc>
      </w:tr>
      <w:tr w:rsidR="00C4689E" w14:paraId="307715E3" w14:textId="77777777" w:rsidTr="00F44A8B">
        <w:trPr>
          <w:tblCellSpacing w:w="15" w:type="dxa"/>
        </w:trPr>
        <w:tc>
          <w:tcPr>
            <w:tcW w:w="0" w:type="auto"/>
          </w:tcPr>
          <w:p w14:paraId="5E2931F2" w14:textId="036E7C46" w:rsidR="00C4689E" w:rsidRDefault="00D53134" w:rsidP="00F44A8B">
            <w:pPr>
              <w:rPr>
                <w:rFonts w:cs="Arial"/>
                <w:color w:val="000000"/>
                <w:szCs w:val="22"/>
              </w:rPr>
            </w:pPr>
            <w:r>
              <w:rPr>
                <w:rFonts w:cs="Arial"/>
                <w:color w:val="000000"/>
                <w:szCs w:val="22"/>
              </w:rPr>
              <w:t>3</w:t>
            </w:r>
            <w:r w:rsidR="00C4689E">
              <w:rPr>
                <w:rFonts w:cs="Arial"/>
                <w:color w:val="000000"/>
                <w:szCs w:val="22"/>
              </w:rPr>
              <w:t>.</w:t>
            </w:r>
          </w:p>
        </w:tc>
        <w:tc>
          <w:tcPr>
            <w:tcW w:w="0" w:type="auto"/>
            <w:vAlign w:val="center"/>
          </w:tcPr>
          <w:p w14:paraId="6D6E0307" w14:textId="78B74F7B" w:rsidR="00C4689E" w:rsidRPr="00CE32DB" w:rsidRDefault="00CE32DB" w:rsidP="00F44A8B">
            <w:pPr>
              <w:rPr>
                <w:rFonts w:cs="Arial"/>
                <w:color w:val="000000"/>
                <w:szCs w:val="22"/>
              </w:rPr>
            </w:pPr>
            <w:r w:rsidRPr="00CE32DB">
              <w:rPr>
                <w:rFonts w:cs="Arial"/>
                <w:color w:val="000000"/>
                <w:szCs w:val="22"/>
              </w:rPr>
              <w:t xml:space="preserve">Bekele BN, </w:t>
            </w:r>
            <w:r w:rsidRPr="00CE32DB">
              <w:rPr>
                <w:rFonts w:cs="Arial"/>
                <w:b/>
                <w:bCs/>
                <w:color w:val="000000"/>
                <w:szCs w:val="22"/>
              </w:rPr>
              <w:t>Li Y</w:t>
            </w:r>
            <w:r w:rsidRPr="00CE32DB">
              <w:rPr>
                <w:rFonts w:cs="Arial"/>
                <w:color w:val="000000"/>
                <w:szCs w:val="22"/>
              </w:rPr>
              <w:t>, Ji Y. Risk-group-specific dose finding based on an average toxicity score. Biometrics 66(2):541-548, 6/2010. PMCID: PMC4570736.</w:t>
            </w:r>
          </w:p>
        </w:tc>
      </w:tr>
      <w:tr w:rsidR="00C4689E" w14:paraId="302C6988" w14:textId="77777777" w:rsidTr="00F44A8B">
        <w:trPr>
          <w:tblCellSpacing w:w="15" w:type="dxa"/>
        </w:trPr>
        <w:tc>
          <w:tcPr>
            <w:tcW w:w="0" w:type="auto"/>
          </w:tcPr>
          <w:p w14:paraId="0A738812" w14:textId="2A974700" w:rsidR="00C4689E" w:rsidRDefault="00D53134" w:rsidP="00F44A8B">
            <w:pPr>
              <w:rPr>
                <w:rFonts w:cs="Arial"/>
                <w:color w:val="000000"/>
                <w:szCs w:val="22"/>
              </w:rPr>
            </w:pPr>
            <w:r>
              <w:rPr>
                <w:rFonts w:cs="Arial"/>
                <w:color w:val="000000"/>
                <w:szCs w:val="22"/>
              </w:rPr>
              <w:lastRenderedPageBreak/>
              <w:t>4</w:t>
            </w:r>
            <w:r w:rsidR="00D10E8C">
              <w:rPr>
                <w:rFonts w:cs="Arial"/>
                <w:color w:val="000000"/>
                <w:szCs w:val="22"/>
              </w:rPr>
              <w:t>.</w:t>
            </w:r>
          </w:p>
        </w:tc>
        <w:tc>
          <w:tcPr>
            <w:tcW w:w="0" w:type="auto"/>
            <w:vAlign w:val="center"/>
          </w:tcPr>
          <w:p w14:paraId="0D37C926" w14:textId="3AD6B22E" w:rsidR="00C4689E" w:rsidRPr="00D53134" w:rsidRDefault="00D53134" w:rsidP="00F44A8B">
            <w:pPr>
              <w:rPr>
                <w:rFonts w:cs="Arial"/>
                <w:color w:val="000000"/>
                <w:szCs w:val="22"/>
              </w:rPr>
            </w:pPr>
            <w:r w:rsidRPr="00D53134">
              <w:rPr>
                <w:rFonts w:cs="Arial"/>
                <w:color w:val="000000"/>
                <w:szCs w:val="22"/>
              </w:rPr>
              <w:t xml:space="preserve">Ji Y, Liu P, </w:t>
            </w:r>
            <w:r w:rsidRPr="00D53134">
              <w:rPr>
                <w:rFonts w:cs="Arial"/>
                <w:b/>
                <w:bCs/>
                <w:color w:val="000000"/>
                <w:szCs w:val="22"/>
              </w:rPr>
              <w:t>Li Y</w:t>
            </w:r>
            <w:r w:rsidRPr="00D53134">
              <w:rPr>
                <w:rFonts w:cs="Arial"/>
                <w:color w:val="000000"/>
                <w:szCs w:val="22"/>
              </w:rPr>
              <w:t>, Bekele BN. A modified toxicity probability interval method for dose-finding trials. Clin Trials 7(6):653-663, 12/2010. PMCID: PMC5038924.</w:t>
            </w:r>
          </w:p>
        </w:tc>
      </w:tr>
    </w:tbl>
    <w:p w14:paraId="21E9B3DB" w14:textId="77777777" w:rsidR="004C0149" w:rsidRPr="00A128A0" w:rsidRDefault="004C0149" w:rsidP="002C51BC">
      <w:pPr>
        <w:pStyle w:val="DataField11pt-Single"/>
        <w:rPr>
          <w:rStyle w:val="Strong"/>
        </w:rPr>
      </w:pPr>
    </w:p>
    <w:p w14:paraId="6CF2C30A" w14:textId="7393BDC1" w:rsidR="000270E5"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r w:rsidR="000270E5" w:rsidRPr="000270E5">
        <w:rPr>
          <w:rStyle w:val="Strong"/>
          <w:u w:val="single"/>
        </w:rPr>
        <w:t>Positions and Scientific Appointments</w:t>
      </w:r>
      <w:r w:rsidR="000270E5">
        <w:rPr>
          <w:rStyle w:val="Strong"/>
        </w:rPr>
        <w:t xml:space="preserve"> </w:t>
      </w:r>
    </w:p>
    <w:tbl>
      <w:tblPr>
        <w:tblW w:w="5000" w:type="pct"/>
        <w:tblCellSpacing w:w="0" w:type="dxa"/>
        <w:tblCellMar>
          <w:left w:w="0" w:type="dxa"/>
          <w:right w:w="0" w:type="dxa"/>
        </w:tblCellMar>
        <w:tblLook w:val="04A0" w:firstRow="1" w:lastRow="0" w:firstColumn="1" w:lastColumn="0" w:noHBand="0" w:noVBand="1"/>
      </w:tblPr>
      <w:tblGrid>
        <w:gridCol w:w="1440"/>
        <w:gridCol w:w="9360"/>
      </w:tblGrid>
      <w:tr w:rsidR="00312B2C" w14:paraId="6EFDEED4" w14:textId="77777777" w:rsidTr="00116587">
        <w:trPr>
          <w:tblCellSpacing w:w="0" w:type="dxa"/>
        </w:trPr>
        <w:tc>
          <w:tcPr>
            <w:tcW w:w="1440" w:type="dxa"/>
            <w:noWrap/>
          </w:tcPr>
          <w:p w14:paraId="2913F0B5" w14:textId="5DAFAFB8" w:rsidR="00312B2C" w:rsidRDefault="00312B2C" w:rsidP="00116587">
            <w:pPr>
              <w:rPr>
                <w:rFonts w:cs="Arial"/>
                <w:color w:val="000000"/>
                <w:szCs w:val="22"/>
              </w:rPr>
            </w:pPr>
            <w:r>
              <w:rPr>
                <w:rFonts w:cs="Arial"/>
                <w:color w:val="000000"/>
                <w:szCs w:val="22"/>
              </w:rPr>
              <w:t>2024</w:t>
            </w:r>
          </w:p>
        </w:tc>
        <w:tc>
          <w:tcPr>
            <w:tcW w:w="0" w:type="auto"/>
            <w:vAlign w:val="center"/>
          </w:tcPr>
          <w:p w14:paraId="7D061FC6" w14:textId="7DE8092C" w:rsidR="00312B2C" w:rsidRPr="00667845" w:rsidRDefault="00312B2C" w:rsidP="00116587">
            <w:pPr>
              <w:rPr>
                <w:rFonts w:cs="Arial"/>
                <w:color w:val="000000"/>
                <w:szCs w:val="22"/>
              </w:rPr>
            </w:pPr>
            <w:r w:rsidRPr="00312B2C">
              <w:rPr>
                <w:rFonts w:cs="Arial"/>
                <w:color w:val="000000"/>
                <w:szCs w:val="22"/>
              </w:rPr>
              <w:t>NIH/NINDS Special Emphasis Panel/Scientific Review Group 2024/</w:t>
            </w:r>
            <w:r w:rsidR="00B231B1">
              <w:rPr>
                <w:rFonts w:cs="Arial"/>
                <w:color w:val="000000"/>
                <w:szCs w:val="22"/>
              </w:rPr>
              <w:t>10</w:t>
            </w:r>
            <w:r w:rsidRPr="00312B2C">
              <w:rPr>
                <w:rFonts w:cs="Arial"/>
                <w:color w:val="000000"/>
                <w:szCs w:val="22"/>
              </w:rPr>
              <w:t xml:space="preserve"> ZNS1 SRB-W (2</w:t>
            </w:r>
            <w:r w:rsidR="00B42A4E">
              <w:rPr>
                <w:rFonts w:cs="Arial"/>
                <w:color w:val="000000"/>
                <w:szCs w:val="22"/>
              </w:rPr>
              <w:t>3</w:t>
            </w:r>
            <w:r w:rsidRPr="00312B2C">
              <w:rPr>
                <w:rFonts w:cs="Arial"/>
                <w:color w:val="000000"/>
                <w:szCs w:val="22"/>
              </w:rPr>
              <w:t>) Meeting, NIH, Ad Hoc Member</w:t>
            </w:r>
          </w:p>
        </w:tc>
      </w:tr>
      <w:tr w:rsidR="00667845" w14:paraId="3A1E05A9" w14:textId="77777777" w:rsidTr="00116587">
        <w:trPr>
          <w:tblCellSpacing w:w="0" w:type="dxa"/>
        </w:trPr>
        <w:tc>
          <w:tcPr>
            <w:tcW w:w="1440" w:type="dxa"/>
            <w:noWrap/>
          </w:tcPr>
          <w:p w14:paraId="48FDC9A7" w14:textId="7081ACA5" w:rsidR="00667845" w:rsidRDefault="00667845" w:rsidP="00116587">
            <w:pPr>
              <w:rPr>
                <w:rFonts w:cs="Arial"/>
                <w:color w:val="000000"/>
                <w:szCs w:val="22"/>
              </w:rPr>
            </w:pPr>
            <w:r>
              <w:rPr>
                <w:rFonts w:cs="Arial"/>
                <w:color w:val="000000"/>
                <w:szCs w:val="22"/>
              </w:rPr>
              <w:t>2024</w:t>
            </w:r>
          </w:p>
        </w:tc>
        <w:tc>
          <w:tcPr>
            <w:tcW w:w="0" w:type="auto"/>
            <w:vAlign w:val="center"/>
          </w:tcPr>
          <w:p w14:paraId="4B2DE103" w14:textId="3A3D8F61" w:rsidR="00667845" w:rsidRPr="00EB752C" w:rsidRDefault="00667845" w:rsidP="00116587">
            <w:pPr>
              <w:rPr>
                <w:rFonts w:cs="Arial"/>
                <w:color w:val="000000"/>
                <w:szCs w:val="22"/>
              </w:rPr>
            </w:pPr>
            <w:r w:rsidRPr="00667845">
              <w:rPr>
                <w:rFonts w:cs="Arial"/>
                <w:color w:val="000000"/>
                <w:szCs w:val="22"/>
              </w:rPr>
              <w:t>NIH/NINDS Special Emphasis Panel/Scientific Review Group 2024/05 ZNS1 SRB-W (22) Meeting, NIH, Ad Hoc Member</w:t>
            </w:r>
          </w:p>
        </w:tc>
      </w:tr>
      <w:tr w:rsidR="00EB752C" w14:paraId="6ED61E44" w14:textId="77777777" w:rsidTr="00116587">
        <w:trPr>
          <w:tblCellSpacing w:w="0" w:type="dxa"/>
        </w:trPr>
        <w:tc>
          <w:tcPr>
            <w:tcW w:w="1440" w:type="dxa"/>
            <w:noWrap/>
          </w:tcPr>
          <w:p w14:paraId="157B4322" w14:textId="6E50714E" w:rsidR="00EB752C" w:rsidRDefault="00EB752C" w:rsidP="00116587">
            <w:pPr>
              <w:rPr>
                <w:rFonts w:cs="Arial"/>
                <w:color w:val="000000"/>
                <w:szCs w:val="22"/>
              </w:rPr>
            </w:pPr>
            <w:r>
              <w:rPr>
                <w:rFonts w:cs="Arial"/>
                <w:color w:val="000000"/>
                <w:szCs w:val="22"/>
              </w:rPr>
              <w:t>2023</w:t>
            </w:r>
          </w:p>
        </w:tc>
        <w:tc>
          <w:tcPr>
            <w:tcW w:w="0" w:type="auto"/>
            <w:vAlign w:val="center"/>
          </w:tcPr>
          <w:p w14:paraId="34CB1AF6" w14:textId="42D98041" w:rsidR="00EB752C" w:rsidRPr="00E04FFB" w:rsidRDefault="00EB752C" w:rsidP="00116587">
            <w:pPr>
              <w:rPr>
                <w:rFonts w:cs="Arial"/>
                <w:color w:val="000000"/>
                <w:szCs w:val="22"/>
              </w:rPr>
            </w:pPr>
            <w:r w:rsidRPr="00EB752C">
              <w:rPr>
                <w:rFonts w:cs="Arial"/>
                <w:color w:val="000000"/>
                <w:szCs w:val="22"/>
              </w:rPr>
              <w:t>NIH/NINDS Special Emphasis Panel/Scientific Review Group 2023/10 ZNS1 SRB-W (18) Meeting</w:t>
            </w:r>
            <w:r>
              <w:rPr>
                <w:rFonts w:cs="Arial"/>
                <w:color w:val="000000"/>
                <w:szCs w:val="22"/>
              </w:rPr>
              <w:t xml:space="preserve">, </w:t>
            </w:r>
            <w:r w:rsidRPr="00EB752C">
              <w:rPr>
                <w:rFonts w:cs="Arial"/>
                <w:color w:val="000000"/>
                <w:szCs w:val="22"/>
              </w:rPr>
              <w:t>NIH, Ad Hoc Member</w:t>
            </w:r>
          </w:p>
        </w:tc>
      </w:tr>
      <w:tr w:rsidR="00E04FFB" w14:paraId="06329F28" w14:textId="77777777" w:rsidTr="00116587">
        <w:trPr>
          <w:tblCellSpacing w:w="0" w:type="dxa"/>
        </w:trPr>
        <w:tc>
          <w:tcPr>
            <w:tcW w:w="1440" w:type="dxa"/>
            <w:noWrap/>
          </w:tcPr>
          <w:p w14:paraId="0413ED9B" w14:textId="431B3F92" w:rsidR="00E04FFB" w:rsidRDefault="00E04FFB" w:rsidP="00116587">
            <w:pPr>
              <w:rPr>
                <w:rFonts w:cs="Arial"/>
                <w:color w:val="000000"/>
                <w:szCs w:val="22"/>
              </w:rPr>
            </w:pPr>
            <w:r>
              <w:rPr>
                <w:rFonts w:cs="Arial"/>
                <w:color w:val="000000"/>
                <w:szCs w:val="22"/>
              </w:rPr>
              <w:t>2023</w:t>
            </w:r>
          </w:p>
        </w:tc>
        <w:tc>
          <w:tcPr>
            <w:tcW w:w="0" w:type="auto"/>
            <w:vAlign w:val="center"/>
          </w:tcPr>
          <w:p w14:paraId="0B8EF3FB" w14:textId="03FB91B6" w:rsidR="00E04FFB" w:rsidRPr="00497B4C" w:rsidRDefault="00E04FFB" w:rsidP="00116587">
            <w:pPr>
              <w:rPr>
                <w:rFonts w:cs="Arial"/>
                <w:color w:val="000000"/>
                <w:szCs w:val="22"/>
              </w:rPr>
            </w:pPr>
            <w:r w:rsidRPr="00E04FFB">
              <w:rPr>
                <w:rFonts w:cs="Arial"/>
                <w:color w:val="000000"/>
                <w:szCs w:val="22"/>
              </w:rPr>
              <w:t>NIH/NINDS Special Emphasis Panel/Scientific Review Group 2023/05 ZNS1 SRB-W (10) Meeting, NIH, Ad Hoc Member</w:t>
            </w:r>
          </w:p>
        </w:tc>
      </w:tr>
      <w:tr w:rsidR="00225136" w14:paraId="71264107" w14:textId="77777777" w:rsidTr="00116587">
        <w:trPr>
          <w:tblCellSpacing w:w="0" w:type="dxa"/>
        </w:trPr>
        <w:tc>
          <w:tcPr>
            <w:tcW w:w="1440" w:type="dxa"/>
            <w:noWrap/>
          </w:tcPr>
          <w:p w14:paraId="634C0270" w14:textId="77777777" w:rsidR="00225136" w:rsidRDefault="00225136" w:rsidP="00116587">
            <w:pPr>
              <w:rPr>
                <w:rFonts w:cs="Arial"/>
                <w:color w:val="000000"/>
                <w:szCs w:val="22"/>
              </w:rPr>
            </w:pPr>
            <w:r>
              <w:rPr>
                <w:rFonts w:cs="Arial"/>
                <w:color w:val="000000"/>
                <w:szCs w:val="22"/>
              </w:rPr>
              <w:t>2022-2023</w:t>
            </w:r>
          </w:p>
        </w:tc>
        <w:tc>
          <w:tcPr>
            <w:tcW w:w="0" w:type="auto"/>
            <w:vAlign w:val="center"/>
          </w:tcPr>
          <w:p w14:paraId="76067793" w14:textId="03E55AE8" w:rsidR="00225136" w:rsidRDefault="00225136" w:rsidP="00116587">
            <w:pPr>
              <w:rPr>
                <w:rFonts w:cs="Arial"/>
                <w:color w:val="000000"/>
                <w:szCs w:val="22"/>
              </w:rPr>
            </w:pPr>
            <w:r w:rsidRPr="00497B4C">
              <w:rPr>
                <w:rFonts w:cs="Arial"/>
                <w:color w:val="000000"/>
                <w:szCs w:val="22"/>
              </w:rPr>
              <w:t>Member, Scientific Program Committee, International Chinese Statistical Association</w:t>
            </w:r>
            <w:r w:rsidR="00286019">
              <w:rPr>
                <w:rFonts w:cs="Arial"/>
                <w:color w:val="000000"/>
                <w:szCs w:val="22"/>
              </w:rPr>
              <w:t xml:space="preserve"> (ICSA</w:t>
            </w:r>
            <w:r w:rsidRPr="00497B4C">
              <w:rPr>
                <w:rFonts w:cs="Arial"/>
                <w:color w:val="000000"/>
                <w:szCs w:val="22"/>
              </w:rPr>
              <w:t>) 2023 China Conference, Chengdu, Sichuan Province, China</w:t>
            </w:r>
          </w:p>
        </w:tc>
      </w:tr>
      <w:tr w:rsidR="00947812" w14:paraId="1CBE7CDA" w14:textId="77777777" w:rsidTr="00116587">
        <w:trPr>
          <w:tblCellSpacing w:w="0" w:type="dxa"/>
        </w:trPr>
        <w:tc>
          <w:tcPr>
            <w:tcW w:w="1440" w:type="dxa"/>
            <w:noWrap/>
          </w:tcPr>
          <w:p w14:paraId="29B1E25E" w14:textId="096DF22F" w:rsidR="00947812" w:rsidRDefault="00947812" w:rsidP="00116587">
            <w:pPr>
              <w:rPr>
                <w:rFonts w:cs="Arial"/>
                <w:color w:val="000000"/>
                <w:szCs w:val="22"/>
              </w:rPr>
            </w:pPr>
            <w:r>
              <w:rPr>
                <w:rFonts w:cs="Arial"/>
                <w:color w:val="000000"/>
                <w:szCs w:val="22"/>
              </w:rPr>
              <w:t>2022</w:t>
            </w:r>
          </w:p>
        </w:tc>
        <w:tc>
          <w:tcPr>
            <w:tcW w:w="0" w:type="auto"/>
            <w:vAlign w:val="center"/>
          </w:tcPr>
          <w:p w14:paraId="2845E713" w14:textId="1082E911" w:rsidR="00947812" w:rsidRPr="00497B4C" w:rsidRDefault="00947812" w:rsidP="00116587">
            <w:pPr>
              <w:rPr>
                <w:rFonts w:cs="Arial"/>
                <w:color w:val="000000"/>
                <w:szCs w:val="22"/>
              </w:rPr>
            </w:pPr>
            <w:r w:rsidRPr="00947812">
              <w:rPr>
                <w:rFonts w:cs="Arial"/>
                <w:color w:val="000000"/>
                <w:szCs w:val="22"/>
              </w:rPr>
              <w:t>NIH/NINDS Special Emphasis Panel/Scientific Review Group 202</w:t>
            </w:r>
            <w:r>
              <w:rPr>
                <w:rFonts w:cs="Arial"/>
                <w:color w:val="000000"/>
                <w:szCs w:val="22"/>
              </w:rPr>
              <w:t>2</w:t>
            </w:r>
            <w:r w:rsidRPr="00947812">
              <w:rPr>
                <w:rFonts w:cs="Arial"/>
                <w:color w:val="000000"/>
                <w:szCs w:val="22"/>
              </w:rPr>
              <w:t>/</w:t>
            </w:r>
            <w:r>
              <w:rPr>
                <w:rFonts w:cs="Arial"/>
                <w:color w:val="000000"/>
                <w:szCs w:val="22"/>
              </w:rPr>
              <w:t>10</w:t>
            </w:r>
            <w:r w:rsidRPr="00947812">
              <w:rPr>
                <w:rFonts w:cs="Arial"/>
                <w:color w:val="000000"/>
                <w:szCs w:val="22"/>
              </w:rPr>
              <w:t xml:space="preserve"> ZNS1 SRB-W (</w:t>
            </w:r>
            <w:r>
              <w:rPr>
                <w:rFonts w:cs="Arial"/>
                <w:color w:val="000000"/>
                <w:szCs w:val="22"/>
              </w:rPr>
              <w:t>0</w:t>
            </w:r>
            <w:r w:rsidRPr="00947812">
              <w:rPr>
                <w:rFonts w:cs="Arial"/>
                <w:color w:val="000000"/>
                <w:szCs w:val="22"/>
              </w:rPr>
              <w:t>1) Meeting, NIH, Ad Hoc Member</w:t>
            </w:r>
          </w:p>
        </w:tc>
      </w:tr>
      <w:tr w:rsidR="00947812" w14:paraId="55DB43B7" w14:textId="77777777" w:rsidTr="00116587">
        <w:trPr>
          <w:tblCellSpacing w:w="0" w:type="dxa"/>
        </w:trPr>
        <w:tc>
          <w:tcPr>
            <w:tcW w:w="1440" w:type="dxa"/>
            <w:noWrap/>
          </w:tcPr>
          <w:p w14:paraId="032DC416" w14:textId="1405EB96" w:rsidR="00947812" w:rsidRDefault="00947812" w:rsidP="00116587">
            <w:pPr>
              <w:rPr>
                <w:rFonts w:cs="Arial"/>
                <w:color w:val="000000"/>
                <w:szCs w:val="22"/>
              </w:rPr>
            </w:pPr>
            <w:r>
              <w:rPr>
                <w:rFonts w:cs="Arial"/>
                <w:color w:val="000000"/>
                <w:szCs w:val="22"/>
              </w:rPr>
              <w:t>2022</w:t>
            </w:r>
          </w:p>
        </w:tc>
        <w:tc>
          <w:tcPr>
            <w:tcW w:w="0" w:type="auto"/>
            <w:vAlign w:val="center"/>
          </w:tcPr>
          <w:p w14:paraId="0DC83D10" w14:textId="6B46EE28" w:rsidR="00947812" w:rsidRPr="00497B4C" w:rsidRDefault="00947812" w:rsidP="00116587">
            <w:pPr>
              <w:rPr>
                <w:rFonts w:cs="Arial"/>
                <w:color w:val="000000"/>
                <w:szCs w:val="22"/>
              </w:rPr>
            </w:pPr>
            <w:r w:rsidRPr="00947812">
              <w:rPr>
                <w:rFonts w:cs="Arial"/>
                <w:color w:val="000000"/>
                <w:szCs w:val="22"/>
              </w:rPr>
              <w:t>NIH/NINDS Special Emphasis Panel/Scientific Review Group 202</w:t>
            </w:r>
            <w:r>
              <w:rPr>
                <w:rFonts w:cs="Arial"/>
                <w:color w:val="000000"/>
                <w:szCs w:val="22"/>
              </w:rPr>
              <w:t>2</w:t>
            </w:r>
            <w:r w:rsidRPr="00947812">
              <w:rPr>
                <w:rFonts w:cs="Arial"/>
                <w:color w:val="000000"/>
                <w:szCs w:val="22"/>
              </w:rPr>
              <w:t>/05 ZNS1 SRB-</w:t>
            </w:r>
            <w:r>
              <w:rPr>
                <w:rFonts w:cs="Arial"/>
                <w:color w:val="000000"/>
                <w:szCs w:val="22"/>
              </w:rPr>
              <w:t>G</w:t>
            </w:r>
            <w:r w:rsidRPr="00947812">
              <w:rPr>
                <w:rFonts w:cs="Arial"/>
                <w:color w:val="000000"/>
                <w:szCs w:val="22"/>
              </w:rPr>
              <w:t xml:space="preserve"> (</w:t>
            </w:r>
            <w:r>
              <w:rPr>
                <w:rFonts w:cs="Arial"/>
                <w:color w:val="000000"/>
                <w:szCs w:val="22"/>
              </w:rPr>
              <w:t>48</w:t>
            </w:r>
            <w:r w:rsidRPr="00947812">
              <w:rPr>
                <w:rFonts w:cs="Arial"/>
                <w:color w:val="000000"/>
                <w:szCs w:val="22"/>
              </w:rPr>
              <w:t>) Meeting, NIH, Ad Hoc Member</w:t>
            </w:r>
          </w:p>
        </w:tc>
      </w:tr>
      <w:tr w:rsidR="00225136" w14:paraId="3103C006" w14:textId="77777777" w:rsidTr="00116587">
        <w:trPr>
          <w:tblCellSpacing w:w="0" w:type="dxa"/>
        </w:trPr>
        <w:tc>
          <w:tcPr>
            <w:tcW w:w="1440" w:type="dxa"/>
            <w:noWrap/>
          </w:tcPr>
          <w:p w14:paraId="6399A8D8" w14:textId="77777777" w:rsidR="00225136" w:rsidRDefault="00225136" w:rsidP="00116587">
            <w:pPr>
              <w:rPr>
                <w:rFonts w:cs="Arial"/>
                <w:color w:val="000000"/>
                <w:szCs w:val="22"/>
              </w:rPr>
            </w:pPr>
            <w:r>
              <w:rPr>
                <w:rFonts w:cs="Arial"/>
                <w:color w:val="000000"/>
                <w:szCs w:val="22"/>
              </w:rPr>
              <w:t>2022-present</w:t>
            </w:r>
          </w:p>
        </w:tc>
        <w:tc>
          <w:tcPr>
            <w:tcW w:w="0" w:type="auto"/>
            <w:vAlign w:val="center"/>
          </w:tcPr>
          <w:p w14:paraId="18EF57B0" w14:textId="77777777" w:rsidR="00225136" w:rsidRDefault="00225136" w:rsidP="00116587">
            <w:pPr>
              <w:rPr>
                <w:rFonts w:cs="Arial"/>
                <w:color w:val="000000"/>
                <w:szCs w:val="22"/>
              </w:rPr>
            </w:pPr>
            <w:r w:rsidRPr="00497B4C">
              <w:rPr>
                <w:rFonts w:cs="Arial"/>
                <w:color w:val="000000"/>
                <w:szCs w:val="22"/>
              </w:rPr>
              <w:t>Member, IRB 3, The University of Texas MD Anderson Cancer Center, Houston, TX</w:t>
            </w:r>
          </w:p>
        </w:tc>
      </w:tr>
      <w:tr w:rsidR="00DF20A7" w14:paraId="6173C02E" w14:textId="77777777" w:rsidTr="00116587">
        <w:trPr>
          <w:tblCellSpacing w:w="0" w:type="dxa"/>
        </w:trPr>
        <w:tc>
          <w:tcPr>
            <w:tcW w:w="1440" w:type="dxa"/>
            <w:noWrap/>
          </w:tcPr>
          <w:p w14:paraId="40CB7498" w14:textId="173D531D" w:rsidR="00DF20A7" w:rsidRDefault="00DF20A7" w:rsidP="00116587">
            <w:pPr>
              <w:rPr>
                <w:rFonts w:cs="Arial"/>
                <w:color w:val="000000"/>
                <w:szCs w:val="22"/>
              </w:rPr>
            </w:pPr>
            <w:r>
              <w:rPr>
                <w:rFonts w:cs="Arial"/>
                <w:color w:val="000000"/>
                <w:szCs w:val="22"/>
              </w:rPr>
              <w:t>2022-present</w:t>
            </w:r>
          </w:p>
        </w:tc>
        <w:tc>
          <w:tcPr>
            <w:tcW w:w="0" w:type="auto"/>
            <w:vAlign w:val="center"/>
          </w:tcPr>
          <w:p w14:paraId="5844C62E" w14:textId="315A059E" w:rsidR="00DF20A7" w:rsidRPr="00497B4C" w:rsidRDefault="00DF20A7" w:rsidP="00DF20A7">
            <w:pPr>
              <w:rPr>
                <w:rFonts w:cs="Arial"/>
                <w:color w:val="000000"/>
                <w:szCs w:val="22"/>
              </w:rPr>
            </w:pPr>
            <w:r w:rsidRPr="00DF20A7">
              <w:rPr>
                <w:rFonts w:cs="Arial"/>
                <w:color w:val="000000"/>
                <w:szCs w:val="22"/>
              </w:rPr>
              <w:t>Ad</w:t>
            </w:r>
            <w:r>
              <w:rPr>
                <w:rFonts w:cs="Arial"/>
                <w:color w:val="000000"/>
                <w:szCs w:val="22"/>
              </w:rPr>
              <w:t>junct Professor, Department of Bios</w:t>
            </w:r>
            <w:r w:rsidRPr="00DF20A7">
              <w:rPr>
                <w:rFonts w:cs="Arial"/>
                <w:color w:val="000000"/>
                <w:szCs w:val="22"/>
              </w:rPr>
              <w:t>tatistics</w:t>
            </w:r>
            <w:r>
              <w:rPr>
                <w:rFonts w:cs="Arial"/>
                <w:color w:val="000000"/>
                <w:szCs w:val="22"/>
              </w:rPr>
              <w:t xml:space="preserve"> and Data Science</w:t>
            </w:r>
            <w:r w:rsidRPr="00DF20A7">
              <w:rPr>
                <w:rFonts w:cs="Arial"/>
                <w:color w:val="000000"/>
                <w:szCs w:val="22"/>
              </w:rPr>
              <w:t xml:space="preserve">, </w:t>
            </w:r>
            <w:r>
              <w:rPr>
                <w:rFonts w:cs="Arial"/>
                <w:color w:val="000000"/>
                <w:szCs w:val="22"/>
              </w:rPr>
              <w:t xml:space="preserve">School of Public Health, </w:t>
            </w:r>
            <w:r w:rsidRPr="00DF20A7">
              <w:rPr>
                <w:rFonts w:cs="Arial"/>
                <w:color w:val="000000"/>
                <w:szCs w:val="22"/>
              </w:rPr>
              <w:t>University</w:t>
            </w:r>
            <w:r>
              <w:rPr>
                <w:rFonts w:cs="Arial"/>
                <w:color w:val="000000"/>
                <w:szCs w:val="22"/>
              </w:rPr>
              <w:t xml:space="preserve"> of Texas Health Science Center</w:t>
            </w:r>
            <w:r w:rsidRPr="00DF20A7">
              <w:rPr>
                <w:rFonts w:cs="Arial"/>
                <w:color w:val="000000"/>
                <w:szCs w:val="22"/>
              </w:rPr>
              <w:t>, Houston, TX</w:t>
            </w:r>
          </w:p>
        </w:tc>
      </w:tr>
      <w:tr w:rsidR="00225136" w14:paraId="6BEE1351" w14:textId="77777777" w:rsidTr="00116587">
        <w:trPr>
          <w:tblCellSpacing w:w="0" w:type="dxa"/>
        </w:trPr>
        <w:tc>
          <w:tcPr>
            <w:tcW w:w="1440" w:type="dxa"/>
            <w:noWrap/>
          </w:tcPr>
          <w:p w14:paraId="77EA6BC9" w14:textId="77777777" w:rsidR="00225136" w:rsidRDefault="00225136" w:rsidP="00116587">
            <w:pPr>
              <w:rPr>
                <w:rFonts w:cs="Arial"/>
                <w:color w:val="000000"/>
                <w:szCs w:val="22"/>
              </w:rPr>
            </w:pPr>
            <w:r>
              <w:rPr>
                <w:rFonts w:cs="Arial"/>
                <w:color w:val="000000"/>
                <w:szCs w:val="22"/>
              </w:rPr>
              <w:t>2022-present</w:t>
            </w:r>
          </w:p>
        </w:tc>
        <w:tc>
          <w:tcPr>
            <w:tcW w:w="0" w:type="auto"/>
            <w:vAlign w:val="center"/>
          </w:tcPr>
          <w:p w14:paraId="7735F467" w14:textId="77777777" w:rsidR="00225136" w:rsidRDefault="00225136" w:rsidP="00116587">
            <w:pPr>
              <w:rPr>
                <w:rFonts w:cs="Arial"/>
                <w:color w:val="000000"/>
                <w:szCs w:val="22"/>
              </w:rPr>
            </w:pPr>
            <w:r w:rsidRPr="00497B4C">
              <w:rPr>
                <w:rFonts w:cs="Arial"/>
                <w:color w:val="000000"/>
                <w:szCs w:val="22"/>
              </w:rPr>
              <w:t>Adjunct Professor, Department of Statistics, Rice University, Houston, TX</w:t>
            </w:r>
          </w:p>
        </w:tc>
      </w:tr>
      <w:tr w:rsidR="000270E5" w14:paraId="753234BA" w14:textId="77777777" w:rsidTr="000270E5">
        <w:trPr>
          <w:tblCellSpacing w:w="0" w:type="dxa"/>
        </w:trPr>
        <w:tc>
          <w:tcPr>
            <w:tcW w:w="1440" w:type="dxa"/>
            <w:noWrap/>
            <w:hideMark/>
          </w:tcPr>
          <w:p w14:paraId="38314BE5" w14:textId="39D3B41C" w:rsidR="000270E5" w:rsidRDefault="000270E5">
            <w:pPr>
              <w:rPr>
                <w:rFonts w:cs="Arial"/>
                <w:color w:val="000000"/>
                <w:szCs w:val="22"/>
              </w:rPr>
            </w:pPr>
            <w:r>
              <w:rPr>
                <w:rFonts w:cs="Arial"/>
                <w:color w:val="000000"/>
                <w:szCs w:val="22"/>
              </w:rPr>
              <w:t>2021-2022</w:t>
            </w:r>
          </w:p>
        </w:tc>
        <w:tc>
          <w:tcPr>
            <w:tcW w:w="0" w:type="auto"/>
            <w:vAlign w:val="center"/>
            <w:hideMark/>
          </w:tcPr>
          <w:p w14:paraId="5639745F" w14:textId="77777777" w:rsidR="000270E5" w:rsidRDefault="000270E5">
            <w:pPr>
              <w:rPr>
                <w:rFonts w:cs="Arial"/>
                <w:color w:val="000000"/>
                <w:szCs w:val="22"/>
              </w:rPr>
            </w:pPr>
            <w:r>
              <w:rPr>
                <w:rFonts w:cs="Arial"/>
                <w:color w:val="000000"/>
                <w:szCs w:val="22"/>
              </w:rPr>
              <w:t xml:space="preserve">Round NWO Talent </w:t>
            </w:r>
            <w:proofErr w:type="spellStart"/>
            <w:r>
              <w:rPr>
                <w:rFonts w:cs="Arial"/>
                <w:color w:val="000000"/>
                <w:szCs w:val="22"/>
              </w:rPr>
              <w:t>Programme</w:t>
            </w:r>
            <w:proofErr w:type="spellEnd"/>
            <w:r>
              <w:rPr>
                <w:rFonts w:cs="Arial"/>
                <w:color w:val="000000"/>
                <w:szCs w:val="22"/>
              </w:rPr>
              <w:t xml:space="preserve"> 2021 - </w:t>
            </w:r>
            <w:proofErr w:type="spellStart"/>
            <w:r>
              <w:rPr>
                <w:rFonts w:cs="Arial"/>
                <w:color w:val="000000"/>
                <w:szCs w:val="22"/>
              </w:rPr>
              <w:t>Behaviour</w:t>
            </w:r>
            <w:proofErr w:type="spellEnd"/>
            <w:r>
              <w:rPr>
                <w:rFonts w:cs="Arial"/>
                <w:color w:val="000000"/>
                <w:szCs w:val="22"/>
              </w:rPr>
              <w:t xml:space="preserve"> and Education, Dutch Research Council, Ad Hoc Member</w:t>
            </w:r>
          </w:p>
        </w:tc>
      </w:tr>
      <w:tr w:rsidR="000270E5" w14:paraId="36941006" w14:textId="77777777" w:rsidTr="000270E5">
        <w:trPr>
          <w:tblCellSpacing w:w="0" w:type="dxa"/>
        </w:trPr>
        <w:tc>
          <w:tcPr>
            <w:tcW w:w="1440" w:type="dxa"/>
            <w:noWrap/>
            <w:hideMark/>
          </w:tcPr>
          <w:p w14:paraId="221DCA12" w14:textId="77777777" w:rsidR="000270E5" w:rsidRDefault="000270E5">
            <w:pPr>
              <w:rPr>
                <w:rFonts w:cs="Arial"/>
                <w:color w:val="000000"/>
                <w:szCs w:val="22"/>
              </w:rPr>
            </w:pPr>
            <w:r>
              <w:rPr>
                <w:rFonts w:cs="Arial"/>
                <w:color w:val="000000"/>
                <w:szCs w:val="22"/>
              </w:rPr>
              <w:t>2021</w:t>
            </w:r>
          </w:p>
        </w:tc>
        <w:tc>
          <w:tcPr>
            <w:tcW w:w="0" w:type="auto"/>
            <w:vAlign w:val="center"/>
            <w:hideMark/>
          </w:tcPr>
          <w:p w14:paraId="6BDDC9D0" w14:textId="77777777" w:rsidR="000270E5" w:rsidRDefault="000270E5">
            <w:pPr>
              <w:rPr>
                <w:rFonts w:cs="Arial"/>
                <w:color w:val="000000"/>
                <w:szCs w:val="22"/>
              </w:rPr>
            </w:pPr>
            <w:r>
              <w:rPr>
                <w:rFonts w:cs="Arial"/>
                <w:color w:val="000000"/>
                <w:szCs w:val="22"/>
              </w:rPr>
              <w:t>NIH/NINDS Special Emphasis Panel/Scientific Review Group 2021/08 ZNS1 SRB-G (42) meeting, NIH, Internet Assisted Reviewer</w:t>
            </w:r>
          </w:p>
        </w:tc>
      </w:tr>
      <w:tr w:rsidR="000270E5" w14:paraId="49FF3A9A" w14:textId="77777777" w:rsidTr="000270E5">
        <w:trPr>
          <w:tblCellSpacing w:w="0" w:type="dxa"/>
        </w:trPr>
        <w:tc>
          <w:tcPr>
            <w:tcW w:w="1440" w:type="dxa"/>
            <w:noWrap/>
            <w:hideMark/>
          </w:tcPr>
          <w:p w14:paraId="6937798A" w14:textId="77777777" w:rsidR="000270E5" w:rsidRDefault="000270E5">
            <w:pPr>
              <w:rPr>
                <w:rFonts w:cs="Arial"/>
                <w:color w:val="000000"/>
                <w:szCs w:val="22"/>
              </w:rPr>
            </w:pPr>
            <w:r>
              <w:rPr>
                <w:rFonts w:cs="Arial"/>
                <w:color w:val="000000"/>
                <w:szCs w:val="22"/>
              </w:rPr>
              <w:t>2020-present</w:t>
            </w:r>
          </w:p>
        </w:tc>
        <w:tc>
          <w:tcPr>
            <w:tcW w:w="0" w:type="auto"/>
            <w:vAlign w:val="center"/>
            <w:hideMark/>
          </w:tcPr>
          <w:p w14:paraId="103E884A" w14:textId="77777777" w:rsidR="000270E5" w:rsidRDefault="000270E5">
            <w:pPr>
              <w:rPr>
                <w:rFonts w:cs="Arial"/>
                <w:color w:val="000000"/>
                <w:szCs w:val="22"/>
              </w:rPr>
            </w:pPr>
            <w:r>
              <w:rPr>
                <w:rFonts w:cs="Arial"/>
                <w:color w:val="000000"/>
                <w:szCs w:val="22"/>
              </w:rPr>
              <w:t>Professor, Department of Biostatistics, Division of Basic Science Research, The University of Texas MD Anderson Cancer Center, Houston, TX</w:t>
            </w:r>
          </w:p>
        </w:tc>
      </w:tr>
      <w:tr w:rsidR="000270E5" w14:paraId="641F8DB3" w14:textId="77777777" w:rsidTr="000270E5">
        <w:trPr>
          <w:tblCellSpacing w:w="0" w:type="dxa"/>
        </w:trPr>
        <w:tc>
          <w:tcPr>
            <w:tcW w:w="1440" w:type="dxa"/>
            <w:noWrap/>
            <w:hideMark/>
          </w:tcPr>
          <w:p w14:paraId="5F77F6DE" w14:textId="77777777" w:rsidR="000270E5" w:rsidRDefault="000270E5">
            <w:pPr>
              <w:rPr>
                <w:rFonts w:cs="Arial"/>
                <w:color w:val="000000"/>
                <w:szCs w:val="22"/>
              </w:rPr>
            </w:pPr>
            <w:r>
              <w:rPr>
                <w:rFonts w:cs="Arial"/>
                <w:color w:val="000000"/>
                <w:szCs w:val="22"/>
              </w:rPr>
              <w:t>2020-present</w:t>
            </w:r>
          </w:p>
        </w:tc>
        <w:tc>
          <w:tcPr>
            <w:tcW w:w="0" w:type="auto"/>
            <w:vAlign w:val="center"/>
            <w:hideMark/>
          </w:tcPr>
          <w:p w14:paraId="18468315" w14:textId="77777777" w:rsidR="000270E5" w:rsidRDefault="000270E5">
            <w:pPr>
              <w:rPr>
                <w:rFonts w:cs="Arial"/>
                <w:color w:val="000000"/>
                <w:szCs w:val="22"/>
              </w:rPr>
            </w:pPr>
            <w:r>
              <w:rPr>
                <w:rFonts w:cs="Arial"/>
                <w:color w:val="000000"/>
                <w:szCs w:val="22"/>
              </w:rPr>
              <w:t>Statistical Consultant, Journal of Immunotherapy and Precision Oncology</w:t>
            </w:r>
          </w:p>
        </w:tc>
      </w:tr>
      <w:tr w:rsidR="000270E5" w14:paraId="1B604439" w14:textId="77777777" w:rsidTr="000270E5">
        <w:trPr>
          <w:tblCellSpacing w:w="0" w:type="dxa"/>
        </w:trPr>
        <w:tc>
          <w:tcPr>
            <w:tcW w:w="1440" w:type="dxa"/>
            <w:noWrap/>
            <w:hideMark/>
          </w:tcPr>
          <w:p w14:paraId="298BFA66" w14:textId="77777777" w:rsidR="000270E5" w:rsidRDefault="000270E5">
            <w:pPr>
              <w:rPr>
                <w:rFonts w:cs="Arial"/>
                <w:color w:val="000000"/>
                <w:szCs w:val="22"/>
              </w:rPr>
            </w:pPr>
            <w:r>
              <w:rPr>
                <w:rFonts w:cs="Arial"/>
                <w:color w:val="000000"/>
                <w:szCs w:val="22"/>
              </w:rPr>
              <w:t>2020</w:t>
            </w:r>
          </w:p>
        </w:tc>
        <w:tc>
          <w:tcPr>
            <w:tcW w:w="0" w:type="auto"/>
            <w:vAlign w:val="center"/>
            <w:hideMark/>
          </w:tcPr>
          <w:p w14:paraId="7A11E3E2" w14:textId="77777777" w:rsidR="000270E5" w:rsidRDefault="000270E5">
            <w:pPr>
              <w:rPr>
                <w:rFonts w:cs="Arial"/>
                <w:color w:val="000000"/>
                <w:szCs w:val="22"/>
              </w:rPr>
            </w:pPr>
            <w:r>
              <w:rPr>
                <w:rFonts w:cs="Arial"/>
                <w:color w:val="000000"/>
                <w:szCs w:val="22"/>
              </w:rPr>
              <w:t>Statistical Grant, Medical Research Council of the United Kingdom, External Reviewer</w:t>
            </w:r>
          </w:p>
        </w:tc>
      </w:tr>
      <w:tr w:rsidR="000270E5" w14:paraId="174CD1C9" w14:textId="77777777" w:rsidTr="000270E5">
        <w:trPr>
          <w:tblCellSpacing w:w="0" w:type="dxa"/>
        </w:trPr>
        <w:tc>
          <w:tcPr>
            <w:tcW w:w="1440" w:type="dxa"/>
            <w:noWrap/>
            <w:hideMark/>
          </w:tcPr>
          <w:p w14:paraId="57260091" w14:textId="77777777" w:rsidR="000270E5" w:rsidRDefault="000270E5">
            <w:pPr>
              <w:rPr>
                <w:rFonts w:cs="Arial"/>
                <w:color w:val="000000"/>
                <w:szCs w:val="22"/>
              </w:rPr>
            </w:pPr>
            <w:r>
              <w:rPr>
                <w:rFonts w:cs="Arial"/>
                <w:color w:val="000000"/>
                <w:szCs w:val="22"/>
              </w:rPr>
              <w:t>2020</w:t>
            </w:r>
          </w:p>
        </w:tc>
        <w:tc>
          <w:tcPr>
            <w:tcW w:w="0" w:type="auto"/>
            <w:vAlign w:val="center"/>
            <w:hideMark/>
          </w:tcPr>
          <w:p w14:paraId="67F0ADEA" w14:textId="77777777" w:rsidR="000270E5" w:rsidRDefault="000270E5">
            <w:pPr>
              <w:rPr>
                <w:rFonts w:cs="Arial"/>
                <w:color w:val="000000"/>
                <w:szCs w:val="22"/>
              </w:rPr>
            </w:pPr>
            <w:r>
              <w:rPr>
                <w:rFonts w:cs="Arial"/>
                <w:color w:val="000000"/>
                <w:szCs w:val="22"/>
              </w:rPr>
              <w:t>NIH/NINDS Special Emphasis Panel/Scientific Review Group 2020/10 ZNS1 SRB-G32 meeting, NIH, Internet Assisted Reviewer</w:t>
            </w:r>
          </w:p>
        </w:tc>
      </w:tr>
      <w:tr w:rsidR="000270E5" w14:paraId="40FBDCA1" w14:textId="77777777" w:rsidTr="000270E5">
        <w:trPr>
          <w:tblCellSpacing w:w="0" w:type="dxa"/>
        </w:trPr>
        <w:tc>
          <w:tcPr>
            <w:tcW w:w="1440" w:type="dxa"/>
            <w:noWrap/>
            <w:hideMark/>
          </w:tcPr>
          <w:p w14:paraId="7918D572" w14:textId="2C5035DE" w:rsidR="000270E5" w:rsidRDefault="000270E5">
            <w:pPr>
              <w:rPr>
                <w:rFonts w:cs="Arial"/>
                <w:color w:val="000000"/>
                <w:szCs w:val="22"/>
              </w:rPr>
            </w:pPr>
            <w:r>
              <w:rPr>
                <w:rFonts w:cs="Arial"/>
                <w:color w:val="000000"/>
                <w:szCs w:val="22"/>
              </w:rPr>
              <w:t>2019-</w:t>
            </w:r>
            <w:r w:rsidR="00225136">
              <w:rPr>
                <w:rFonts w:cs="Arial"/>
                <w:color w:val="000000"/>
                <w:szCs w:val="22"/>
              </w:rPr>
              <w:t>2022</w:t>
            </w:r>
          </w:p>
        </w:tc>
        <w:tc>
          <w:tcPr>
            <w:tcW w:w="0" w:type="auto"/>
            <w:vAlign w:val="center"/>
            <w:hideMark/>
          </w:tcPr>
          <w:p w14:paraId="48C176EA" w14:textId="7E78045F" w:rsidR="000270E5" w:rsidRDefault="000270E5">
            <w:pPr>
              <w:rPr>
                <w:rFonts w:cs="Arial"/>
                <w:color w:val="000000"/>
                <w:szCs w:val="22"/>
              </w:rPr>
            </w:pPr>
            <w:r>
              <w:rPr>
                <w:rFonts w:cs="Arial"/>
                <w:color w:val="000000"/>
                <w:szCs w:val="22"/>
              </w:rPr>
              <w:t xml:space="preserve">Adjunct </w:t>
            </w:r>
            <w:r w:rsidR="00225136" w:rsidRPr="00225136">
              <w:rPr>
                <w:rFonts w:cs="Arial"/>
                <w:color w:val="000000"/>
                <w:szCs w:val="22"/>
              </w:rPr>
              <w:t xml:space="preserve">Associate Professor, Department of </w:t>
            </w:r>
            <w:r>
              <w:rPr>
                <w:rFonts w:cs="Arial"/>
                <w:color w:val="000000"/>
                <w:szCs w:val="22"/>
              </w:rPr>
              <w:t>Statistics, Rice University, Houston, TX</w:t>
            </w:r>
          </w:p>
        </w:tc>
      </w:tr>
      <w:tr w:rsidR="000270E5" w14:paraId="6D8F655E" w14:textId="77777777" w:rsidTr="000270E5">
        <w:trPr>
          <w:tblCellSpacing w:w="0" w:type="dxa"/>
        </w:trPr>
        <w:tc>
          <w:tcPr>
            <w:tcW w:w="1440" w:type="dxa"/>
            <w:noWrap/>
            <w:hideMark/>
          </w:tcPr>
          <w:p w14:paraId="194BDC5D" w14:textId="77777777" w:rsidR="000270E5" w:rsidRDefault="000270E5">
            <w:pPr>
              <w:rPr>
                <w:rFonts w:cs="Arial"/>
                <w:color w:val="000000"/>
                <w:szCs w:val="22"/>
              </w:rPr>
            </w:pPr>
            <w:r>
              <w:rPr>
                <w:rFonts w:cs="Arial"/>
                <w:color w:val="000000"/>
                <w:szCs w:val="22"/>
              </w:rPr>
              <w:t>2019</w:t>
            </w:r>
          </w:p>
        </w:tc>
        <w:tc>
          <w:tcPr>
            <w:tcW w:w="0" w:type="auto"/>
            <w:vAlign w:val="center"/>
            <w:hideMark/>
          </w:tcPr>
          <w:p w14:paraId="0E51A764" w14:textId="77777777" w:rsidR="000270E5" w:rsidRDefault="000270E5">
            <w:pPr>
              <w:rPr>
                <w:rFonts w:cs="Arial"/>
                <w:color w:val="000000"/>
                <w:szCs w:val="22"/>
              </w:rPr>
            </w:pPr>
            <w:r>
              <w:rPr>
                <w:rFonts w:cs="Arial"/>
                <w:color w:val="000000"/>
                <w:szCs w:val="22"/>
              </w:rPr>
              <w:t>Statistical Grant, Medical Research Council of the United Kingdom, External Reviewer</w:t>
            </w:r>
          </w:p>
        </w:tc>
      </w:tr>
      <w:tr w:rsidR="000270E5" w14:paraId="49BFFE16" w14:textId="77777777" w:rsidTr="000270E5">
        <w:trPr>
          <w:tblCellSpacing w:w="0" w:type="dxa"/>
        </w:trPr>
        <w:tc>
          <w:tcPr>
            <w:tcW w:w="1440" w:type="dxa"/>
            <w:noWrap/>
            <w:hideMark/>
          </w:tcPr>
          <w:p w14:paraId="3130B046" w14:textId="77777777" w:rsidR="000270E5" w:rsidRDefault="000270E5">
            <w:pPr>
              <w:rPr>
                <w:rFonts w:cs="Arial"/>
                <w:color w:val="000000"/>
                <w:szCs w:val="22"/>
              </w:rPr>
            </w:pPr>
            <w:r>
              <w:rPr>
                <w:rFonts w:cs="Arial"/>
                <w:color w:val="000000"/>
                <w:szCs w:val="22"/>
              </w:rPr>
              <w:t>2018-present</w:t>
            </w:r>
          </w:p>
        </w:tc>
        <w:tc>
          <w:tcPr>
            <w:tcW w:w="0" w:type="auto"/>
            <w:vAlign w:val="center"/>
            <w:hideMark/>
          </w:tcPr>
          <w:p w14:paraId="33E74147" w14:textId="77777777" w:rsidR="000270E5" w:rsidRDefault="000270E5">
            <w:pPr>
              <w:rPr>
                <w:rFonts w:cs="Arial"/>
                <w:color w:val="000000"/>
                <w:szCs w:val="22"/>
              </w:rPr>
            </w:pPr>
            <w:r>
              <w:rPr>
                <w:rFonts w:cs="Arial"/>
                <w:color w:val="000000"/>
                <w:szCs w:val="22"/>
              </w:rPr>
              <w:t>Regular Member, Quantitative Sciences Program, The University of Texas Graduate School of Biomedical Science, Houston, TX</w:t>
            </w:r>
          </w:p>
        </w:tc>
      </w:tr>
      <w:tr w:rsidR="000270E5" w14:paraId="7EAEF382" w14:textId="77777777" w:rsidTr="000270E5">
        <w:trPr>
          <w:tblCellSpacing w:w="0" w:type="dxa"/>
        </w:trPr>
        <w:tc>
          <w:tcPr>
            <w:tcW w:w="1440" w:type="dxa"/>
            <w:noWrap/>
            <w:hideMark/>
          </w:tcPr>
          <w:p w14:paraId="65835BCB" w14:textId="07339BAB" w:rsidR="000270E5" w:rsidRDefault="000270E5">
            <w:pPr>
              <w:rPr>
                <w:rFonts w:cs="Arial"/>
                <w:color w:val="000000"/>
                <w:szCs w:val="22"/>
              </w:rPr>
            </w:pPr>
            <w:r>
              <w:rPr>
                <w:rFonts w:cs="Arial"/>
                <w:color w:val="000000"/>
                <w:szCs w:val="22"/>
              </w:rPr>
              <w:t>2017-</w:t>
            </w:r>
            <w:r w:rsidR="006F1CF3">
              <w:rPr>
                <w:rFonts w:cs="Arial"/>
                <w:color w:val="000000"/>
                <w:szCs w:val="22"/>
              </w:rPr>
              <w:t>2022</w:t>
            </w:r>
          </w:p>
        </w:tc>
        <w:tc>
          <w:tcPr>
            <w:tcW w:w="0" w:type="auto"/>
            <w:vAlign w:val="center"/>
            <w:hideMark/>
          </w:tcPr>
          <w:p w14:paraId="7B6577B9" w14:textId="77777777" w:rsidR="000270E5" w:rsidRDefault="000270E5">
            <w:pPr>
              <w:rPr>
                <w:rFonts w:cs="Arial"/>
                <w:color w:val="000000"/>
                <w:szCs w:val="22"/>
              </w:rPr>
            </w:pPr>
            <w:r>
              <w:rPr>
                <w:rFonts w:cs="Arial"/>
                <w:color w:val="000000"/>
                <w:szCs w:val="22"/>
              </w:rPr>
              <w:t>Member, Data and Safety Monitoring Board (DSMB), The University of Texas MD Anderson Cancer Center, Houston, TX</w:t>
            </w:r>
          </w:p>
        </w:tc>
      </w:tr>
      <w:tr w:rsidR="000270E5" w14:paraId="23CA90FB" w14:textId="77777777" w:rsidTr="000270E5">
        <w:trPr>
          <w:tblCellSpacing w:w="0" w:type="dxa"/>
        </w:trPr>
        <w:tc>
          <w:tcPr>
            <w:tcW w:w="1440" w:type="dxa"/>
            <w:noWrap/>
            <w:hideMark/>
          </w:tcPr>
          <w:p w14:paraId="18C0B372" w14:textId="77777777" w:rsidR="000270E5" w:rsidRDefault="000270E5">
            <w:pPr>
              <w:rPr>
                <w:rFonts w:cs="Arial"/>
                <w:color w:val="000000"/>
                <w:szCs w:val="22"/>
              </w:rPr>
            </w:pPr>
            <w:r>
              <w:rPr>
                <w:rFonts w:cs="Arial"/>
                <w:color w:val="000000"/>
                <w:szCs w:val="22"/>
              </w:rPr>
              <w:t>2017</w:t>
            </w:r>
          </w:p>
        </w:tc>
        <w:tc>
          <w:tcPr>
            <w:tcW w:w="0" w:type="auto"/>
            <w:vAlign w:val="center"/>
            <w:hideMark/>
          </w:tcPr>
          <w:p w14:paraId="33B0E193" w14:textId="77777777" w:rsidR="000270E5" w:rsidRDefault="000270E5">
            <w:pPr>
              <w:rPr>
                <w:rFonts w:cs="Arial"/>
                <w:color w:val="000000"/>
                <w:szCs w:val="22"/>
              </w:rPr>
            </w:pPr>
            <w:r>
              <w:rPr>
                <w:rFonts w:cs="Arial"/>
                <w:color w:val="000000"/>
                <w:szCs w:val="22"/>
              </w:rPr>
              <w:t>NIMHD Specialized Center of Excellence Special Emphasis Panel, NIH, Member</w:t>
            </w:r>
          </w:p>
        </w:tc>
      </w:tr>
      <w:tr w:rsidR="000270E5" w14:paraId="62194EEB" w14:textId="77777777" w:rsidTr="000270E5">
        <w:trPr>
          <w:tblCellSpacing w:w="0" w:type="dxa"/>
        </w:trPr>
        <w:tc>
          <w:tcPr>
            <w:tcW w:w="1440" w:type="dxa"/>
            <w:noWrap/>
            <w:hideMark/>
          </w:tcPr>
          <w:p w14:paraId="2D28B916" w14:textId="77777777" w:rsidR="000270E5" w:rsidRDefault="000270E5">
            <w:pPr>
              <w:rPr>
                <w:rFonts w:cs="Arial"/>
                <w:color w:val="000000"/>
                <w:szCs w:val="22"/>
              </w:rPr>
            </w:pPr>
            <w:r>
              <w:rPr>
                <w:rFonts w:cs="Arial"/>
                <w:color w:val="000000"/>
                <w:szCs w:val="22"/>
              </w:rPr>
              <w:t>2015-2016</w:t>
            </w:r>
          </w:p>
        </w:tc>
        <w:tc>
          <w:tcPr>
            <w:tcW w:w="0" w:type="auto"/>
            <w:vAlign w:val="center"/>
            <w:hideMark/>
          </w:tcPr>
          <w:p w14:paraId="0E515AE9" w14:textId="77777777" w:rsidR="000270E5" w:rsidRDefault="000270E5">
            <w:pPr>
              <w:rPr>
                <w:rFonts w:cs="Arial"/>
                <w:color w:val="000000"/>
                <w:szCs w:val="22"/>
              </w:rPr>
            </w:pPr>
            <w:r>
              <w:rPr>
                <w:rFonts w:cs="Arial"/>
                <w:color w:val="000000"/>
                <w:szCs w:val="22"/>
              </w:rPr>
              <w:t>Mathematics and Statistics Discovery Grant, NSERC of Canada, External Reviewer</w:t>
            </w:r>
          </w:p>
        </w:tc>
      </w:tr>
      <w:tr w:rsidR="000270E5" w14:paraId="500C0109" w14:textId="77777777" w:rsidTr="000270E5">
        <w:trPr>
          <w:tblCellSpacing w:w="0" w:type="dxa"/>
        </w:trPr>
        <w:tc>
          <w:tcPr>
            <w:tcW w:w="1440" w:type="dxa"/>
            <w:noWrap/>
            <w:hideMark/>
          </w:tcPr>
          <w:p w14:paraId="7FF58900" w14:textId="77777777" w:rsidR="000270E5" w:rsidRDefault="000270E5">
            <w:pPr>
              <w:rPr>
                <w:rFonts w:cs="Arial"/>
                <w:color w:val="000000"/>
                <w:szCs w:val="22"/>
              </w:rPr>
            </w:pPr>
            <w:r>
              <w:rPr>
                <w:rFonts w:cs="Arial"/>
                <w:color w:val="000000"/>
                <w:szCs w:val="22"/>
              </w:rPr>
              <w:t>2012-present</w:t>
            </w:r>
          </w:p>
        </w:tc>
        <w:tc>
          <w:tcPr>
            <w:tcW w:w="0" w:type="auto"/>
            <w:vAlign w:val="center"/>
            <w:hideMark/>
          </w:tcPr>
          <w:p w14:paraId="0995B9F7" w14:textId="77777777" w:rsidR="000270E5" w:rsidRDefault="000270E5">
            <w:pPr>
              <w:rPr>
                <w:rFonts w:cs="Arial"/>
                <w:color w:val="000000"/>
                <w:szCs w:val="22"/>
              </w:rPr>
            </w:pPr>
            <w:r>
              <w:rPr>
                <w:rFonts w:cs="Arial"/>
                <w:color w:val="000000"/>
                <w:szCs w:val="22"/>
              </w:rPr>
              <w:t>Associate Editor, The American Statistician</w:t>
            </w:r>
          </w:p>
        </w:tc>
      </w:tr>
      <w:tr w:rsidR="000270E5" w14:paraId="77805914" w14:textId="77777777" w:rsidTr="000270E5">
        <w:trPr>
          <w:tblCellSpacing w:w="0" w:type="dxa"/>
        </w:trPr>
        <w:tc>
          <w:tcPr>
            <w:tcW w:w="1440" w:type="dxa"/>
            <w:noWrap/>
            <w:hideMark/>
          </w:tcPr>
          <w:p w14:paraId="77909AF8" w14:textId="77777777" w:rsidR="000270E5" w:rsidRDefault="000270E5">
            <w:pPr>
              <w:rPr>
                <w:rFonts w:cs="Arial"/>
                <w:color w:val="000000"/>
                <w:szCs w:val="22"/>
              </w:rPr>
            </w:pPr>
            <w:r>
              <w:rPr>
                <w:rFonts w:cs="Arial"/>
                <w:color w:val="000000"/>
                <w:szCs w:val="22"/>
              </w:rPr>
              <w:t>2011-present</w:t>
            </w:r>
          </w:p>
        </w:tc>
        <w:tc>
          <w:tcPr>
            <w:tcW w:w="0" w:type="auto"/>
            <w:vAlign w:val="center"/>
            <w:hideMark/>
          </w:tcPr>
          <w:p w14:paraId="01962118" w14:textId="77777777" w:rsidR="000270E5" w:rsidRDefault="000270E5">
            <w:pPr>
              <w:rPr>
                <w:rFonts w:cs="Arial"/>
                <w:color w:val="000000"/>
                <w:szCs w:val="22"/>
              </w:rPr>
            </w:pPr>
            <w:r>
              <w:rPr>
                <w:rFonts w:cs="Arial"/>
                <w:color w:val="000000"/>
                <w:szCs w:val="22"/>
              </w:rPr>
              <w:t>Associate Editor, BMC Medical Research Methodology</w:t>
            </w:r>
          </w:p>
        </w:tc>
      </w:tr>
      <w:tr w:rsidR="000270E5" w14:paraId="4E00D0A5" w14:textId="77777777" w:rsidTr="000270E5">
        <w:trPr>
          <w:tblCellSpacing w:w="0" w:type="dxa"/>
        </w:trPr>
        <w:tc>
          <w:tcPr>
            <w:tcW w:w="1440" w:type="dxa"/>
            <w:noWrap/>
            <w:hideMark/>
          </w:tcPr>
          <w:p w14:paraId="11E6396C" w14:textId="61E7A7FD" w:rsidR="000270E5" w:rsidRDefault="000270E5">
            <w:pPr>
              <w:rPr>
                <w:rFonts w:cs="Arial"/>
                <w:color w:val="000000"/>
                <w:szCs w:val="22"/>
              </w:rPr>
            </w:pPr>
            <w:r>
              <w:rPr>
                <w:rFonts w:cs="Arial"/>
                <w:color w:val="000000"/>
                <w:szCs w:val="22"/>
              </w:rPr>
              <w:t>2010-</w:t>
            </w:r>
            <w:r w:rsidR="006F1CF3">
              <w:rPr>
                <w:rFonts w:cs="Arial"/>
                <w:color w:val="000000"/>
                <w:szCs w:val="22"/>
              </w:rPr>
              <w:t>2022</w:t>
            </w:r>
          </w:p>
        </w:tc>
        <w:tc>
          <w:tcPr>
            <w:tcW w:w="0" w:type="auto"/>
            <w:vAlign w:val="center"/>
            <w:hideMark/>
          </w:tcPr>
          <w:p w14:paraId="4835AB7E" w14:textId="77777777" w:rsidR="000270E5" w:rsidRDefault="000270E5">
            <w:pPr>
              <w:rPr>
                <w:rFonts w:cs="Arial"/>
                <w:color w:val="000000"/>
                <w:szCs w:val="22"/>
              </w:rPr>
            </w:pPr>
            <w:r>
              <w:rPr>
                <w:rFonts w:cs="Arial"/>
                <w:color w:val="000000"/>
                <w:szCs w:val="22"/>
              </w:rPr>
              <w:t>Scientific Member, IRB 5, The University of Texas MD Anderson Cancer Center, Houston, TX</w:t>
            </w:r>
          </w:p>
        </w:tc>
      </w:tr>
      <w:tr w:rsidR="000270E5" w14:paraId="5BBD7DB2" w14:textId="77777777" w:rsidTr="000270E5">
        <w:trPr>
          <w:tblCellSpacing w:w="0" w:type="dxa"/>
        </w:trPr>
        <w:tc>
          <w:tcPr>
            <w:tcW w:w="1440" w:type="dxa"/>
            <w:noWrap/>
            <w:hideMark/>
          </w:tcPr>
          <w:p w14:paraId="10513BE9" w14:textId="77777777" w:rsidR="000270E5" w:rsidRDefault="000270E5">
            <w:pPr>
              <w:rPr>
                <w:rFonts w:cs="Arial"/>
                <w:color w:val="000000"/>
                <w:szCs w:val="22"/>
              </w:rPr>
            </w:pPr>
            <w:r>
              <w:rPr>
                <w:rFonts w:cs="Arial"/>
                <w:color w:val="000000"/>
                <w:szCs w:val="22"/>
              </w:rPr>
              <w:t>2010-present</w:t>
            </w:r>
          </w:p>
        </w:tc>
        <w:tc>
          <w:tcPr>
            <w:tcW w:w="0" w:type="auto"/>
            <w:vAlign w:val="center"/>
            <w:hideMark/>
          </w:tcPr>
          <w:p w14:paraId="177417B0" w14:textId="77777777" w:rsidR="000270E5" w:rsidRDefault="000270E5">
            <w:pPr>
              <w:rPr>
                <w:rFonts w:cs="Arial"/>
                <w:color w:val="000000"/>
                <w:szCs w:val="22"/>
              </w:rPr>
            </w:pPr>
            <w:r>
              <w:rPr>
                <w:rFonts w:cs="Arial"/>
                <w:color w:val="000000"/>
                <w:szCs w:val="22"/>
              </w:rPr>
              <w:t>Ex-Officio, Institutional Animal Care and Use Committee (IACUC), The University of Texas MD Anderson Cancer Center, Houston, TX</w:t>
            </w:r>
          </w:p>
        </w:tc>
      </w:tr>
      <w:tr w:rsidR="000270E5" w14:paraId="39511D09" w14:textId="77777777" w:rsidTr="000270E5">
        <w:trPr>
          <w:tblCellSpacing w:w="0" w:type="dxa"/>
        </w:trPr>
        <w:tc>
          <w:tcPr>
            <w:tcW w:w="1440" w:type="dxa"/>
            <w:noWrap/>
            <w:hideMark/>
          </w:tcPr>
          <w:p w14:paraId="0F8C0FCD" w14:textId="77777777" w:rsidR="000270E5" w:rsidRDefault="000270E5">
            <w:pPr>
              <w:rPr>
                <w:rFonts w:cs="Arial"/>
                <w:color w:val="000000"/>
                <w:szCs w:val="22"/>
              </w:rPr>
            </w:pPr>
            <w:r>
              <w:rPr>
                <w:rFonts w:cs="Arial"/>
                <w:color w:val="000000"/>
                <w:szCs w:val="22"/>
              </w:rPr>
              <w:t>2010-2020</w:t>
            </w:r>
          </w:p>
        </w:tc>
        <w:tc>
          <w:tcPr>
            <w:tcW w:w="0" w:type="auto"/>
            <w:vAlign w:val="center"/>
            <w:hideMark/>
          </w:tcPr>
          <w:p w14:paraId="0B46E1CD" w14:textId="77777777" w:rsidR="000270E5" w:rsidRDefault="000270E5">
            <w:pPr>
              <w:rPr>
                <w:rFonts w:cs="Arial"/>
                <w:color w:val="000000"/>
                <w:szCs w:val="22"/>
              </w:rPr>
            </w:pPr>
            <w:r>
              <w:rPr>
                <w:rFonts w:cs="Arial"/>
                <w:color w:val="000000"/>
                <w:szCs w:val="22"/>
              </w:rPr>
              <w:t>Associate Professor, Department of Biostatistics, Division of Quantitative Sciences, The University of Texas MD Anderson Cancer Center, Houston, TX</w:t>
            </w:r>
          </w:p>
        </w:tc>
      </w:tr>
      <w:tr w:rsidR="000270E5" w14:paraId="74A41041" w14:textId="77777777" w:rsidTr="000270E5">
        <w:trPr>
          <w:tblCellSpacing w:w="0" w:type="dxa"/>
        </w:trPr>
        <w:tc>
          <w:tcPr>
            <w:tcW w:w="1440" w:type="dxa"/>
            <w:noWrap/>
            <w:hideMark/>
          </w:tcPr>
          <w:p w14:paraId="77D3B882" w14:textId="77777777" w:rsidR="000270E5" w:rsidRDefault="000270E5">
            <w:pPr>
              <w:rPr>
                <w:rFonts w:cs="Arial"/>
                <w:color w:val="000000"/>
                <w:szCs w:val="22"/>
              </w:rPr>
            </w:pPr>
            <w:r>
              <w:rPr>
                <w:rFonts w:cs="Arial"/>
                <w:color w:val="000000"/>
                <w:szCs w:val="22"/>
              </w:rPr>
              <w:t>2010-2016</w:t>
            </w:r>
          </w:p>
        </w:tc>
        <w:tc>
          <w:tcPr>
            <w:tcW w:w="0" w:type="auto"/>
            <w:vAlign w:val="center"/>
            <w:hideMark/>
          </w:tcPr>
          <w:p w14:paraId="105A560E" w14:textId="77777777" w:rsidR="000270E5" w:rsidRDefault="000270E5">
            <w:pPr>
              <w:rPr>
                <w:rFonts w:cs="Arial"/>
                <w:color w:val="000000"/>
                <w:szCs w:val="22"/>
              </w:rPr>
            </w:pPr>
            <w:r>
              <w:rPr>
                <w:rFonts w:cs="Arial"/>
                <w:color w:val="000000"/>
                <w:szCs w:val="22"/>
              </w:rPr>
              <w:t>Member of Editorial Board, Journal of Biometrics and Biostatistics</w:t>
            </w:r>
          </w:p>
        </w:tc>
      </w:tr>
      <w:tr w:rsidR="000270E5" w14:paraId="34FF7F91" w14:textId="77777777" w:rsidTr="000270E5">
        <w:trPr>
          <w:tblCellSpacing w:w="0" w:type="dxa"/>
        </w:trPr>
        <w:tc>
          <w:tcPr>
            <w:tcW w:w="1440" w:type="dxa"/>
            <w:noWrap/>
            <w:hideMark/>
          </w:tcPr>
          <w:p w14:paraId="55107E28" w14:textId="77777777" w:rsidR="000270E5" w:rsidRDefault="000270E5">
            <w:pPr>
              <w:rPr>
                <w:rFonts w:cs="Arial"/>
                <w:color w:val="000000"/>
                <w:szCs w:val="22"/>
              </w:rPr>
            </w:pPr>
            <w:r>
              <w:rPr>
                <w:rFonts w:cs="Arial"/>
                <w:color w:val="000000"/>
                <w:szCs w:val="22"/>
              </w:rPr>
              <w:t>2010</w:t>
            </w:r>
          </w:p>
        </w:tc>
        <w:tc>
          <w:tcPr>
            <w:tcW w:w="0" w:type="auto"/>
            <w:vAlign w:val="center"/>
            <w:hideMark/>
          </w:tcPr>
          <w:p w14:paraId="74C497C6" w14:textId="77777777" w:rsidR="000270E5" w:rsidRDefault="000270E5">
            <w:pPr>
              <w:rPr>
                <w:rFonts w:cs="Arial"/>
                <w:color w:val="000000"/>
                <w:szCs w:val="22"/>
              </w:rPr>
            </w:pPr>
            <w:r>
              <w:rPr>
                <w:rFonts w:cs="Arial"/>
                <w:color w:val="000000"/>
                <w:szCs w:val="22"/>
              </w:rPr>
              <w:t>Visiting Assistant Professor, Department of Statistics, Rice University, Houston, TX</w:t>
            </w:r>
          </w:p>
        </w:tc>
      </w:tr>
      <w:tr w:rsidR="000270E5" w14:paraId="09349E92" w14:textId="77777777" w:rsidTr="000270E5">
        <w:trPr>
          <w:tblCellSpacing w:w="0" w:type="dxa"/>
        </w:trPr>
        <w:tc>
          <w:tcPr>
            <w:tcW w:w="1440" w:type="dxa"/>
            <w:noWrap/>
            <w:hideMark/>
          </w:tcPr>
          <w:p w14:paraId="48CDA23C" w14:textId="77777777" w:rsidR="000270E5" w:rsidRDefault="000270E5">
            <w:pPr>
              <w:rPr>
                <w:rFonts w:cs="Arial"/>
                <w:color w:val="000000"/>
                <w:szCs w:val="22"/>
              </w:rPr>
            </w:pPr>
            <w:r>
              <w:rPr>
                <w:rFonts w:cs="Arial"/>
                <w:color w:val="000000"/>
                <w:szCs w:val="22"/>
              </w:rPr>
              <w:t>2009</w:t>
            </w:r>
          </w:p>
        </w:tc>
        <w:tc>
          <w:tcPr>
            <w:tcW w:w="0" w:type="auto"/>
            <w:vAlign w:val="center"/>
            <w:hideMark/>
          </w:tcPr>
          <w:p w14:paraId="13D5B95B" w14:textId="77777777" w:rsidR="000270E5" w:rsidRDefault="000270E5">
            <w:pPr>
              <w:rPr>
                <w:rFonts w:cs="Arial"/>
                <w:color w:val="000000"/>
                <w:szCs w:val="22"/>
              </w:rPr>
            </w:pPr>
            <w:r>
              <w:rPr>
                <w:rFonts w:cs="Arial"/>
                <w:color w:val="000000"/>
                <w:szCs w:val="22"/>
              </w:rPr>
              <w:t>Center for Scientific Review Cancer Biomarkers Study Section Special Emphasis Panel, NIH, Internet Assisted Reviewer</w:t>
            </w:r>
          </w:p>
        </w:tc>
      </w:tr>
      <w:tr w:rsidR="000270E5" w14:paraId="44D990C7" w14:textId="77777777" w:rsidTr="000270E5">
        <w:trPr>
          <w:tblCellSpacing w:w="0" w:type="dxa"/>
        </w:trPr>
        <w:tc>
          <w:tcPr>
            <w:tcW w:w="1440" w:type="dxa"/>
            <w:noWrap/>
            <w:hideMark/>
          </w:tcPr>
          <w:p w14:paraId="42B3F798" w14:textId="77777777" w:rsidR="000270E5" w:rsidRDefault="000270E5">
            <w:pPr>
              <w:rPr>
                <w:rFonts w:cs="Arial"/>
                <w:color w:val="000000"/>
                <w:szCs w:val="22"/>
              </w:rPr>
            </w:pPr>
            <w:r>
              <w:rPr>
                <w:rFonts w:cs="Arial"/>
                <w:color w:val="000000"/>
                <w:szCs w:val="22"/>
              </w:rPr>
              <w:t>2008-2010</w:t>
            </w:r>
          </w:p>
        </w:tc>
        <w:tc>
          <w:tcPr>
            <w:tcW w:w="0" w:type="auto"/>
            <w:vAlign w:val="center"/>
            <w:hideMark/>
          </w:tcPr>
          <w:p w14:paraId="0D2E50AC" w14:textId="77777777" w:rsidR="000270E5" w:rsidRDefault="000270E5">
            <w:pPr>
              <w:rPr>
                <w:rFonts w:cs="Arial"/>
                <w:color w:val="000000"/>
                <w:szCs w:val="22"/>
              </w:rPr>
            </w:pPr>
            <w:r>
              <w:rPr>
                <w:rFonts w:cs="Arial"/>
                <w:color w:val="000000"/>
                <w:szCs w:val="22"/>
              </w:rPr>
              <w:t>Associate Scientific Member, Institutional Review Board (IRB) 5, The University of Texas MD Anderson Cancer Center, Houston, TX</w:t>
            </w:r>
          </w:p>
        </w:tc>
      </w:tr>
      <w:tr w:rsidR="000270E5" w14:paraId="0C179FDC" w14:textId="77777777" w:rsidTr="000270E5">
        <w:trPr>
          <w:tblCellSpacing w:w="0" w:type="dxa"/>
        </w:trPr>
        <w:tc>
          <w:tcPr>
            <w:tcW w:w="1440" w:type="dxa"/>
            <w:noWrap/>
            <w:hideMark/>
          </w:tcPr>
          <w:p w14:paraId="69940845" w14:textId="77777777" w:rsidR="000270E5" w:rsidRDefault="000270E5">
            <w:pPr>
              <w:rPr>
                <w:rFonts w:cs="Arial"/>
                <w:color w:val="000000"/>
                <w:szCs w:val="22"/>
              </w:rPr>
            </w:pPr>
            <w:r>
              <w:rPr>
                <w:rFonts w:cs="Arial"/>
                <w:color w:val="000000"/>
                <w:szCs w:val="22"/>
              </w:rPr>
              <w:t>2008</w:t>
            </w:r>
          </w:p>
        </w:tc>
        <w:tc>
          <w:tcPr>
            <w:tcW w:w="0" w:type="auto"/>
            <w:vAlign w:val="center"/>
            <w:hideMark/>
          </w:tcPr>
          <w:p w14:paraId="6F0E2112" w14:textId="77777777" w:rsidR="000270E5" w:rsidRDefault="000270E5">
            <w:pPr>
              <w:rPr>
                <w:rFonts w:cs="Arial"/>
                <w:color w:val="000000"/>
                <w:szCs w:val="22"/>
              </w:rPr>
            </w:pPr>
            <w:r>
              <w:rPr>
                <w:rFonts w:cs="Arial"/>
                <w:color w:val="000000"/>
                <w:szCs w:val="22"/>
              </w:rPr>
              <w:t>Visiting Assistant Professor, Department of Statistics, Rice University, Houston, TX</w:t>
            </w:r>
          </w:p>
        </w:tc>
      </w:tr>
      <w:tr w:rsidR="000270E5" w14:paraId="089E1938" w14:textId="77777777" w:rsidTr="000270E5">
        <w:trPr>
          <w:tblCellSpacing w:w="0" w:type="dxa"/>
        </w:trPr>
        <w:tc>
          <w:tcPr>
            <w:tcW w:w="1440" w:type="dxa"/>
            <w:noWrap/>
            <w:hideMark/>
          </w:tcPr>
          <w:p w14:paraId="015C7931" w14:textId="77777777" w:rsidR="000270E5" w:rsidRDefault="000270E5">
            <w:pPr>
              <w:rPr>
                <w:rFonts w:cs="Arial"/>
                <w:color w:val="000000"/>
                <w:szCs w:val="22"/>
              </w:rPr>
            </w:pPr>
            <w:r>
              <w:rPr>
                <w:rFonts w:cs="Arial"/>
                <w:color w:val="000000"/>
                <w:szCs w:val="22"/>
              </w:rPr>
              <w:t>2008</w:t>
            </w:r>
          </w:p>
        </w:tc>
        <w:tc>
          <w:tcPr>
            <w:tcW w:w="0" w:type="auto"/>
            <w:vAlign w:val="center"/>
            <w:hideMark/>
          </w:tcPr>
          <w:p w14:paraId="53A1FE1A" w14:textId="77777777" w:rsidR="000270E5" w:rsidRDefault="000270E5">
            <w:pPr>
              <w:rPr>
                <w:rFonts w:cs="Arial"/>
                <w:color w:val="000000"/>
                <w:szCs w:val="22"/>
              </w:rPr>
            </w:pPr>
            <w:r>
              <w:rPr>
                <w:rFonts w:cs="Arial"/>
                <w:color w:val="000000"/>
                <w:szCs w:val="22"/>
              </w:rPr>
              <w:t>Program Committee Member, Joint Statistical Meetings, American Statistical Association</w:t>
            </w:r>
          </w:p>
        </w:tc>
      </w:tr>
      <w:tr w:rsidR="000270E5" w14:paraId="11EFFD3D" w14:textId="77777777" w:rsidTr="000270E5">
        <w:trPr>
          <w:tblCellSpacing w:w="0" w:type="dxa"/>
        </w:trPr>
        <w:tc>
          <w:tcPr>
            <w:tcW w:w="1440" w:type="dxa"/>
            <w:noWrap/>
            <w:hideMark/>
          </w:tcPr>
          <w:p w14:paraId="343A3C41" w14:textId="77777777" w:rsidR="000270E5" w:rsidRDefault="000270E5">
            <w:pPr>
              <w:rPr>
                <w:rFonts w:cs="Arial"/>
                <w:color w:val="000000"/>
                <w:szCs w:val="22"/>
              </w:rPr>
            </w:pPr>
            <w:r>
              <w:rPr>
                <w:rFonts w:cs="Arial"/>
                <w:color w:val="000000"/>
                <w:szCs w:val="22"/>
              </w:rPr>
              <w:lastRenderedPageBreak/>
              <w:t>2006-2009</w:t>
            </w:r>
          </w:p>
        </w:tc>
        <w:tc>
          <w:tcPr>
            <w:tcW w:w="0" w:type="auto"/>
            <w:vAlign w:val="center"/>
            <w:hideMark/>
          </w:tcPr>
          <w:p w14:paraId="39266B52" w14:textId="77777777" w:rsidR="000270E5" w:rsidRDefault="000270E5">
            <w:pPr>
              <w:rPr>
                <w:rFonts w:cs="Arial"/>
                <w:color w:val="000000"/>
                <w:szCs w:val="22"/>
              </w:rPr>
            </w:pPr>
            <w:r>
              <w:rPr>
                <w:rFonts w:cs="Arial"/>
                <w:color w:val="000000"/>
                <w:szCs w:val="22"/>
              </w:rPr>
              <w:t>Member, Psychosocial, Behavioral and Health Services Research Committee (PBHSRC), The University of Texas MD Anderson Cancer Center, Houston, TX</w:t>
            </w:r>
          </w:p>
        </w:tc>
      </w:tr>
      <w:tr w:rsidR="000270E5" w14:paraId="7B278224" w14:textId="77777777" w:rsidTr="000270E5">
        <w:trPr>
          <w:tblCellSpacing w:w="0" w:type="dxa"/>
        </w:trPr>
        <w:tc>
          <w:tcPr>
            <w:tcW w:w="1440" w:type="dxa"/>
            <w:noWrap/>
            <w:hideMark/>
          </w:tcPr>
          <w:p w14:paraId="3ED2B579" w14:textId="77777777" w:rsidR="000270E5" w:rsidRDefault="000270E5">
            <w:pPr>
              <w:rPr>
                <w:rFonts w:cs="Arial"/>
                <w:color w:val="000000"/>
                <w:szCs w:val="22"/>
              </w:rPr>
            </w:pPr>
            <w:r>
              <w:rPr>
                <w:rFonts w:cs="Arial"/>
                <w:color w:val="000000"/>
                <w:szCs w:val="22"/>
              </w:rPr>
              <w:t>2006-2007</w:t>
            </w:r>
          </w:p>
        </w:tc>
        <w:tc>
          <w:tcPr>
            <w:tcW w:w="0" w:type="auto"/>
            <w:vAlign w:val="center"/>
            <w:hideMark/>
          </w:tcPr>
          <w:p w14:paraId="3488B228" w14:textId="77777777" w:rsidR="000270E5" w:rsidRDefault="000270E5">
            <w:pPr>
              <w:rPr>
                <w:rFonts w:cs="Arial"/>
                <w:color w:val="000000"/>
                <w:szCs w:val="22"/>
              </w:rPr>
            </w:pPr>
            <w:r>
              <w:rPr>
                <w:rFonts w:cs="Arial"/>
                <w:color w:val="000000"/>
                <w:szCs w:val="22"/>
              </w:rPr>
              <w:t>President, Houston Area Chapter, American Statistical Association</w:t>
            </w:r>
          </w:p>
        </w:tc>
      </w:tr>
      <w:tr w:rsidR="000270E5" w14:paraId="7A37EEB7" w14:textId="77777777" w:rsidTr="000270E5">
        <w:trPr>
          <w:tblCellSpacing w:w="0" w:type="dxa"/>
        </w:trPr>
        <w:tc>
          <w:tcPr>
            <w:tcW w:w="1440" w:type="dxa"/>
            <w:noWrap/>
            <w:hideMark/>
          </w:tcPr>
          <w:p w14:paraId="35B8A893" w14:textId="77777777" w:rsidR="000270E5" w:rsidRDefault="000270E5">
            <w:pPr>
              <w:rPr>
                <w:rFonts w:cs="Arial"/>
                <w:color w:val="000000"/>
                <w:szCs w:val="22"/>
              </w:rPr>
            </w:pPr>
            <w:r>
              <w:rPr>
                <w:rFonts w:cs="Arial"/>
                <w:color w:val="000000"/>
                <w:szCs w:val="22"/>
              </w:rPr>
              <w:t>2004-2010</w:t>
            </w:r>
          </w:p>
        </w:tc>
        <w:tc>
          <w:tcPr>
            <w:tcW w:w="0" w:type="auto"/>
            <w:vAlign w:val="center"/>
            <w:hideMark/>
          </w:tcPr>
          <w:p w14:paraId="0827CEDF" w14:textId="77777777" w:rsidR="000270E5" w:rsidRDefault="000270E5">
            <w:pPr>
              <w:rPr>
                <w:rFonts w:cs="Arial"/>
                <w:color w:val="000000"/>
                <w:szCs w:val="22"/>
              </w:rPr>
            </w:pPr>
            <w:r>
              <w:rPr>
                <w:rFonts w:cs="Arial"/>
                <w:color w:val="000000"/>
                <w:szCs w:val="22"/>
              </w:rPr>
              <w:t>Assistant Professor, Department of Biostatistics, Division of Quantitative Sciences, The University of Texas MD Anderson Cancer Center, Houston, TX</w:t>
            </w:r>
          </w:p>
        </w:tc>
      </w:tr>
    </w:tbl>
    <w:p w14:paraId="2AA3CBFB" w14:textId="77777777" w:rsidR="000270E5" w:rsidRDefault="000270E5" w:rsidP="000270E5">
      <w:pPr>
        <w:spacing w:before="120"/>
        <w:rPr>
          <w:rFonts w:eastAsia="SimSun" w:cs="Arial"/>
          <w:color w:val="000000"/>
          <w:szCs w:val="22"/>
        </w:rPr>
      </w:pPr>
      <w:r>
        <w:rPr>
          <w:rFonts w:eastAsia="SimSun" w:cs="Arial"/>
          <w:b/>
          <w:bCs/>
          <w:color w:val="000000"/>
          <w:szCs w:val="22"/>
          <w:u w:val="single"/>
        </w:rPr>
        <w:t>Honors</w:t>
      </w:r>
    </w:p>
    <w:tbl>
      <w:tblPr>
        <w:tblW w:w="5000" w:type="pct"/>
        <w:tblCellSpacing w:w="0" w:type="dxa"/>
        <w:tblCellMar>
          <w:left w:w="0" w:type="dxa"/>
          <w:right w:w="0" w:type="dxa"/>
        </w:tblCellMar>
        <w:tblLook w:val="04A0" w:firstRow="1" w:lastRow="0" w:firstColumn="1" w:lastColumn="0" w:noHBand="0" w:noVBand="1"/>
      </w:tblPr>
      <w:tblGrid>
        <w:gridCol w:w="1440"/>
        <w:gridCol w:w="9360"/>
      </w:tblGrid>
      <w:tr w:rsidR="0047080D" w14:paraId="2DAB346A" w14:textId="77777777" w:rsidTr="000270E5">
        <w:trPr>
          <w:tblCellSpacing w:w="0" w:type="dxa"/>
        </w:trPr>
        <w:tc>
          <w:tcPr>
            <w:tcW w:w="1440" w:type="dxa"/>
            <w:noWrap/>
          </w:tcPr>
          <w:p w14:paraId="3B343BEB" w14:textId="4AE2D50B" w:rsidR="0047080D" w:rsidRDefault="0047080D">
            <w:pPr>
              <w:rPr>
                <w:rFonts w:cs="Arial"/>
                <w:color w:val="000000"/>
                <w:szCs w:val="22"/>
              </w:rPr>
            </w:pPr>
            <w:r>
              <w:rPr>
                <w:rFonts w:cs="Arial"/>
                <w:color w:val="000000"/>
                <w:szCs w:val="22"/>
              </w:rPr>
              <w:t>2023</w:t>
            </w:r>
          </w:p>
        </w:tc>
        <w:tc>
          <w:tcPr>
            <w:tcW w:w="0" w:type="auto"/>
            <w:vAlign w:val="center"/>
          </w:tcPr>
          <w:p w14:paraId="5DEB79C4" w14:textId="610A5488" w:rsidR="0047080D" w:rsidRDefault="0047080D" w:rsidP="00DD0B2B">
            <w:pPr>
              <w:rPr>
                <w:rFonts w:cs="Arial"/>
                <w:color w:val="000000"/>
                <w:szCs w:val="22"/>
              </w:rPr>
            </w:pPr>
            <w:r w:rsidRPr="0047080D">
              <w:rPr>
                <w:rFonts w:cs="Arial"/>
                <w:color w:val="000000"/>
                <w:szCs w:val="22"/>
              </w:rPr>
              <w:t>PhD student Chao Yang's paper selected as one of the three finalists of Thomas Chalmers Award at the 44</w:t>
            </w:r>
            <w:r w:rsidR="001E12A5" w:rsidRPr="001E12A5">
              <w:rPr>
                <w:rFonts w:cs="Arial"/>
                <w:color w:val="000000"/>
                <w:szCs w:val="22"/>
                <w:vertAlign w:val="superscript"/>
              </w:rPr>
              <w:t>th</w:t>
            </w:r>
            <w:r w:rsidR="001E12A5">
              <w:rPr>
                <w:rFonts w:cs="Arial"/>
                <w:color w:val="000000"/>
                <w:szCs w:val="22"/>
              </w:rPr>
              <w:t xml:space="preserve"> </w:t>
            </w:r>
            <w:r w:rsidRPr="0047080D">
              <w:rPr>
                <w:rFonts w:cs="Arial"/>
                <w:color w:val="000000"/>
                <w:szCs w:val="22"/>
              </w:rPr>
              <w:t>SCT Meeting, Society of Clinical Trials (SCT)</w:t>
            </w:r>
          </w:p>
        </w:tc>
      </w:tr>
      <w:tr w:rsidR="000270E5" w14:paraId="6B614512" w14:textId="77777777" w:rsidTr="000270E5">
        <w:trPr>
          <w:tblCellSpacing w:w="0" w:type="dxa"/>
        </w:trPr>
        <w:tc>
          <w:tcPr>
            <w:tcW w:w="1440" w:type="dxa"/>
            <w:noWrap/>
            <w:hideMark/>
          </w:tcPr>
          <w:p w14:paraId="68D52071" w14:textId="77777777" w:rsidR="000270E5" w:rsidRDefault="000270E5">
            <w:pPr>
              <w:rPr>
                <w:rFonts w:cs="Arial"/>
                <w:color w:val="000000"/>
                <w:szCs w:val="22"/>
              </w:rPr>
            </w:pPr>
            <w:r>
              <w:rPr>
                <w:rFonts w:cs="Arial"/>
                <w:color w:val="000000"/>
                <w:szCs w:val="22"/>
              </w:rPr>
              <w:t>2010-2011</w:t>
            </w:r>
          </w:p>
        </w:tc>
        <w:tc>
          <w:tcPr>
            <w:tcW w:w="0" w:type="auto"/>
            <w:vAlign w:val="center"/>
            <w:hideMark/>
          </w:tcPr>
          <w:p w14:paraId="534A7B19" w14:textId="77777777" w:rsidR="000270E5" w:rsidRDefault="000270E5">
            <w:pPr>
              <w:rPr>
                <w:rFonts w:cs="Arial"/>
                <w:color w:val="000000"/>
                <w:szCs w:val="22"/>
              </w:rPr>
            </w:pPr>
            <w:r>
              <w:rPr>
                <w:rFonts w:cs="Arial"/>
                <w:color w:val="000000"/>
                <w:szCs w:val="22"/>
              </w:rPr>
              <w:t>Ranked #3 for a few months in the 10 most accessed Biometrics papers, The International Biometric Society</w:t>
            </w:r>
          </w:p>
        </w:tc>
      </w:tr>
      <w:tr w:rsidR="000270E5" w14:paraId="49741B81" w14:textId="77777777" w:rsidTr="000270E5">
        <w:trPr>
          <w:tblCellSpacing w:w="0" w:type="dxa"/>
        </w:trPr>
        <w:tc>
          <w:tcPr>
            <w:tcW w:w="1440" w:type="dxa"/>
            <w:noWrap/>
            <w:hideMark/>
          </w:tcPr>
          <w:p w14:paraId="0DA3BF53" w14:textId="77777777" w:rsidR="000270E5" w:rsidRDefault="000270E5">
            <w:pPr>
              <w:rPr>
                <w:rFonts w:cs="Arial"/>
                <w:color w:val="000000"/>
                <w:szCs w:val="22"/>
              </w:rPr>
            </w:pPr>
            <w:r>
              <w:rPr>
                <w:rFonts w:cs="Arial"/>
                <w:color w:val="000000"/>
                <w:szCs w:val="22"/>
              </w:rPr>
              <w:t>2009</w:t>
            </w:r>
          </w:p>
        </w:tc>
        <w:tc>
          <w:tcPr>
            <w:tcW w:w="0" w:type="auto"/>
            <w:vAlign w:val="center"/>
            <w:hideMark/>
          </w:tcPr>
          <w:p w14:paraId="5DEF8953" w14:textId="77777777" w:rsidR="000270E5" w:rsidRDefault="000270E5">
            <w:pPr>
              <w:rPr>
                <w:rFonts w:cs="Arial"/>
                <w:color w:val="000000"/>
                <w:szCs w:val="22"/>
              </w:rPr>
            </w:pPr>
            <w:r>
              <w:rPr>
                <w:rFonts w:cs="Arial"/>
                <w:color w:val="000000"/>
                <w:szCs w:val="22"/>
              </w:rPr>
              <w:t>Acceptance into Cambridge Who's Who among Executives, Professionals and Entrepreneurs, Cambridge Who's Who</w:t>
            </w:r>
          </w:p>
        </w:tc>
      </w:tr>
      <w:tr w:rsidR="000270E5" w14:paraId="5B4A486C" w14:textId="77777777" w:rsidTr="000270E5">
        <w:trPr>
          <w:tblCellSpacing w:w="0" w:type="dxa"/>
        </w:trPr>
        <w:tc>
          <w:tcPr>
            <w:tcW w:w="1440" w:type="dxa"/>
            <w:noWrap/>
            <w:hideMark/>
          </w:tcPr>
          <w:p w14:paraId="0650025A" w14:textId="77777777" w:rsidR="000270E5" w:rsidRDefault="000270E5">
            <w:pPr>
              <w:rPr>
                <w:rFonts w:cs="Arial"/>
                <w:color w:val="000000"/>
                <w:szCs w:val="22"/>
              </w:rPr>
            </w:pPr>
            <w:r>
              <w:rPr>
                <w:rFonts w:cs="Arial"/>
                <w:color w:val="000000"/>
                <w:szCs w:val="22"/>
              </w:rPr>
              <w:t>2009</w:t>
            </w:r>
          </w:p>
        </w:tc>
        <w:tc>
          <w:tcPr>
            <w:tcW w:w="0" w:type="auto"/>
            <w:vAlign w:val="center"/>
            <w:hideMark/>
          </w:tcPr>
          <w:p w14:paraId="4676EC0B" w14:textId="77777777" w:rsidR="000270E5" w:rsidRDefault="000270E5">
            <w:pPr>
              <w:rPr>
                <w:rFonts w:cs="Arial"/>
                <w:color w:val="000000"/>
                <w:szCs w:val="22"/>
              </w:rPr>
            </w:pPr>
            <w:r>
              <w:rPr>
                <w:rFonts w:cs="Arial"/>
                <w:color w:val="000000"/>
                <w:szCs w:val="22"/>
              </w:rPr>
              <w:t>Best Poster Presentation, The International Workshop on Objective Bayes Methodology, Philadelphia, PA, The International Society for Bayesian Analysis</w:t>
            </w:r>
          </w:p>
        </w:tc>
      </w:tr>
      <w:tr w:rsidR="000270E5" w14:paraId="20D638D9" w14:textId="77777777" w:rsidTr="000270E5">
        <w:trPr>
          <w:tblCellSpacing w:w="0" w:type="dxa"/>
        </w:trPr>
        <w:tc>
          <w:tcPr>
            <w:tcW w:w="1440" w:type="dxa"/>
            <w:noWrap/>
            <w:hideMark/>
          </w:tcPr>
          <w:p w14:paraId="4BC93CB0" w14:textId="77777777" w:rsidR="000270E5" w:rsidRDefault="000270E5">
            <w:pPr>
              <w:rPr>
                <w:rFonts w:cs="Arial"/>
                <w:color w:val="000000"/>
                <w:szCs w:val="22"/>
              </w:rPr>
            </w:pPr>
            <w:r>
              <w:rPr>
                <w:rFonts w:cs="Arial"/>
                <w:color w:val="000000"/>
                <w:szCs w:val="22"/>
              </w:rPr>
              <w:t>2009</w:t>
            </w:r>
          </w:p>
        </w:tc>
        <w:tc>
          <w:tcPr>
            <w:tcW w:w="0" w:type="auto"/>
            <w:vAlign w:val="center"/>
            <w:hideMark/>
          </w:tcPr>
          <w:p w14:paraId="022A0388" w14:textId="77777777" w:rsidR="000270E5" w:rsidRDefault="000270E5">
            <w:pPr>
              <w:rPr>
                <w:rFonts w:cs="Arial"/>
                <w:color w:val="000000"/>
                <w:szCs w:val="22"/>
              </w:rPr>
            </w:pPr>
            <w:r>
              <w:rPr>
                <w:rFonts w:cs="Arial"/>
                <w:color w:val="000000"/>
                <w:szCs w:val="22"/>
              </w:rPr>
              <w:t>Young Researcher Travel Award, The 11th Annual Winter Workshop on Semiparametric Methodology, Gainesville, FL</w:t>
            </w:r>
          </w:p>
        </w:tc>
      </w:tr>
      <w:tr w:rsidR="000270E5" w14:paraId="4DEF5264" w14:textId="77777777" w:rsidTr="000270E5">
        <w:trPr>
          <w:tblCellSpacing w:w="0" w:type="dxa"/>
        </w:trPr>
        <w:tc>
          <w:tcPr>
            <w:tcW w:w="1440" w:type="dxa"/>
            <w:noWrap/>
            <w:hideMark/>
          </w:tcPr>
          <w:p w14:paraId="554F9867" w14:textId="77777777" w:rsidR="000270E5" w:rsidRDefault="000270E5">
            <w:pPr>
              <w:rPr>
                <w:rFonts w:cs="Arial"/>
                <w:color w:val="000000"/>
                <w:szCs w:val="22"/>
              </w:rPr>
            </w:pPr>
            <w:r>
              <w:rPr>
                <w:rFonts w:cs="Arial"/>
                <w:color w:val="000000"/>
                <w:szCs w:val="22"/>
              </w:rPr>
              <w:t>2008</w:t>
            </w:r>
          </w:p>
        </w:tc>
        <w:tc>
          <w:tcPr>
            <w:tcW w:w="0" w:type="auto"/>
            <w:vAlign w:val="center"/>
            <w:hideMark/>
          </w:tcPr>
          <w:p w14:paraId="69968168" w14:textId="77777777" w:rsidR="000270E5" w:rsidRDefault="000270E5">
            <w:pPr>
              <w:rPr>
                <w:rFonts w:cs="Arial"/>
                <w:color w:val="000000"/>
                <w:szCs w:val="22"/>
              </w:rPr>
            </w:pPr>
            <w:r>
              <w:rPr>
                <w:rFonts w:cs="Arial"/>
                <w:color w:val="000000"/>
                <w:szCs w:val="22"/>
              </w:rPr>
              <w:t>Early Career Researcher Travel Award, 9th World Meeting of the International Society for Bayesian Analysis (ISBA), Hamilton Island, Australia, ISBA</w:t>
            </w:r>
          </w:p>
        </w:tc>
      </w:tr>
      <w:tr w:rsidR="000270E5" w14:paraId="68B71277" w14:textId="77777777" w:rsidTr="000270E5">
        <w:trPr>
          <w:tblCellSpacing w:w="0" w:type="dxa"/>
        </w:trPr>
        <w:tc>
          <w:tcPr>
            <w:tcW w:w="1440" w:type="dxa"/>
            <w:noWrap/>
            <w:hideMark/>
          </w:tcPr>
          <w:p w14:paraId="71389779" w14:textId="77777777" w:rsidR="000270E5" w:rsidRDefault="000270E5">
            <w:pPr>
              <w:rPr>
                <w:rFonts w:cs="Arial"/>
                <w:color w:val="000000"/>
                <w:szCs w:val="22"/>
              </w:rPr>
            </w:pPr>
            <w:r>
              <w:rPr>
                <w:rFonts w:cs="Arial"/>
                <w:color w:val="000000"/>
                <w:szCs w:val="22"/>
              </w:rPr>
              <w:t>2007</w:t>
            </w:r>
          </w:p>
        </w:tc>
        <w:tc>
          <w:tcPr>
            <w:tcW w:w="0" w:type="auto"/>
            <w:vAlign w:val="center"/>
            <w:hideMark/>
          </w:tcPr>
          <w:p w14:paraId="2317F24C" w14:textId="77777777" w:rsidR="000270E5" w:rsidRDefault="000270E5">
            <w:pPr>
              <w:rPr>
                <w:rFonts w:cs="Arial"/>
                <w:color w:val="000000"/>
                <w:szCs w:val="22"/>
              </w:rPr>
            </w:pPr>
            <w:r>
              <w:rPr>
                <w:rFonts w:cs="Arial"/>
                <w:color w:val="000000"/>
                <w:szCs w:val="22"/>
              </w:rPr>
              <w:t xml:space="preserve">Travel Award, Current and Future Trends in </w:t>
            </w:r>
            <w:proofErr w:type="spellStart"/>
            <w:r>
              <w:rPr>
                <w:rFonts w:cs="Arial"/>
                <w:color w:val="000000"/>
                <w:szCs w:val="22"/>
              </w:rPr>
              <w:t>Nonparametrics</w:t>
            </w:r>
            <w:proofErr w:type="spellEnd"/>
            <w:r>
              <w:rPr>
                <w:rFonts w:cs="Arial"/>
                <w:color w:val="000000"/>
                <w:szCs w:val="22"/>
              </w:rPr>
              <w:t xml:space="preserve"> conference, Columbia, SC</w:t>
            </w:r>
          </w:p>
        </w:tc>
      </w:tr>
      <w:tr w:rsidR="000270E5" w14:paraId="44E42012" w14:textId="77777777" w:rsidTr="000270E5">
        <w:trPr>
          <w:tblCellSpacing w:w="0" w:type="dxa"/>
        </w:trPr>
        <w:tc>
          <w:tcPr>
            <w:tcW w:w="1440" w:type="dxa"/>
            <w:noWrap/>
            <w:hideMark/>
          </w:tcPr>
          <w:p w14:paraId="524C5CA9" w14:textId="77777777" w:rsidR="000270E5" w:rsidRDefault="000270E5">
            <w:pPr>
              <w:rPr>
                <w:rFonts w:cs="Arial"/>
                <w:color w:val="000000"/>
                <w:szCs w:val="22"/>
              </w:rPr>
            </w:pPr>
            <w:r>
              <w:rPr>
                <w:rFonts w:cs="Arial"/>
                <w:color w:val="000000"/>
                <w:szCs w:val="22"/>
              </w:rPr>
              <w:t>2003</w:t>
            </w:r>
          </w:p>
        </w:tc>
        <w:tc>
          <w:tcPr>
            <w:tcW w:w="0" w:type="auto"/>
            <w:vAlign w:val="center"/>
            <w:hideMark/>
          </w:tcPr>
          <w:p w14:paraId="568B9BC8" w14:textId="77777777" w:rsidR="000270E5" w:rsidRDefault="000270E5">
            <w:pPr>
              <w:rPr>
                <w:rFonts w:cs="Arial"/>
                <w:color w:val="000000"/>
                <w:szCs w:val="22"/>
              </w:rPr>
            </w:pPr>
            <w:r>
              <w:rPr>
                <w:rFonts w:cs="Arial"/>
                <w:color w:val="000000"/>
                <w:szCs w:val="22"/>
              </w:rPr>
              <w:t>Fellowship, University of Michigan, Department of Biostatistics</w:t>
            </w:r>
          </w:p>
        </w:tc>
      </w:tr>
      <w:tr w:rsidR="000270E5" w14:paraId="39D02761" w14:textId="77777777" w:rsidTr="000270E5">
        <w:trPr>
          <w:tblCellSpacing w:w="0" w:type="dxa"/>
        </w:trPr>
        <w:tc>
          <w:tcPr>
            <w:tcW w:w="1440" w:type="dxa"/>
            <w:noWrap/>
            <w:hideMark/>
          </w:tcPr>
          <w:p w14:paraId="7EAF3943" w14:textId="77777777" w:rsidR="000270E5" w:rsidRDefault="000270E5">
            <w:pPr>
              <w:rPr>
                <w:rFonts w:cs="Arial"/>
                <w:color w:val="000000"/>
                <w:szCs w:val="22"/>
              </w:rPr>
            </w:pPr>
            <w:r>
              <w:rPr>
                <w:rFonts w:cs="Arial"/>
                <w:color w:val="000000"/>
                <w:szCs w:val="22"/>
              </w:rPr>
              <w:t>1994</w:t>
            </w:r>
          </w:p>
        </w:tc>
        <w:tc>
          <w:tcPr>
            <w:tcW w:w="0" w:type="auto"/>
            <w:vAlign w:val="center"/>
            <w:hideMark/>
          </w:tcPr>
          <w:p w14:paraId="2334C0AB" w14:textId="77777777" w:rsidR="000270E5" w:rsidRDefault="000270E5">
            <w:pPr>
              <w:rPr>
                <w:rFonts w:cs="Arial"/>
                <w:color w:val="000000"/>
                <w:szCs w:val="22"/>
              </w:rPr>
            </w:pPr>
            <w:r>
              <w:rPr>
                <w:rFonts w:cs="Arial"/>
                <w:color w:val="000000"/>
                <w:szCs w:val="22"/>
              </w:rPr>
              <w:t>Title winner of "Outstanding Graduate Student," Sun Yat-</w:t>
            </w:r>
            <w:proofErr w:type="spellStart"/>
            <w:r>
              <w:rPr>
                <w:rFonts w:cs="Arial"/>
                <w:color w:val="000000"/>
                <w:szCs w:val="22"/>
              </w:rPr>
              <w:t>sen</w:t>
            </w:r>
            <w:proofErr w:type="spellEnd"/>
            <w:r>
              <w:rPr>
                <w:rFonts w:cs="Arial"/>
                <w:color w:val="000000"/>
                <w:szCs w:val="22"/>
              </w:rPr>
              <w:t xml:space="preserve"> University, Department of Mathematics</w:t>
            </w:r>
          </w:p>
        </w:tc>
      </w:tr>
      <w:tr w:rsidR="000270E5" w14:paraId="405ADB1F" w14:textId="77777777" w:rsidTr="000270E5">
        <w:trPr>
          <w:tblCellSpacing w:w="0" w:type="dxa"/>
        </w:trPr>
        <w:tc>
          <w:tcPr>
            <w:tcW w:w="1440" w:type="dxa"/>
            <w:noWrap/>
            <w:hideMark/>
          </w:tcPr>
          <w:p w14:paraId="0183841E" w14:textId="77777777" w:rsidR="000270E5" w:rsidRDefault="000270E5">
            <w:pPr>
              <w:rPr>
                <w:rFonts w:cs="Arial"/>
                <w:color w:val="000000"/>
                <w:szCs w:val="22"/>
              </w:rPr>
            </w:pPr>
            <w:r>
              <w:rPr>
                <w:rFonts w:cs="Arial"/>
                <w:color w:val="000000"/>
                <w:szCs w:val="22"/>
              </w:rPr>
              <w:t>1992</w:t>
            </w:r>
          </w:p>
        </w:tc>
        <w:tc>
          <w:tcPr>
            <w:tcW w:w="0" w:type="auto"/>
            <w:vAlign w:val="center"/>
            <w:hideMark/>
          </w:tcPr>
          <w:p w14:paraId="2D701824" w14:textId="77777777" w:rsidR="000270E5" w:rsidRDefault="000270E5">
            <w:pPr>
              <w:rPr>
                <w:rFonts w:cs="Arial"/>
                <w:color w:val="000000"/>
                <w:szCs w:val="22"/>
              </w:rPr>
            </w:pPr>
            <w:r>
              <w:rPr>
                <w:rFonts w:cs="Arial"/>
                <w:color w:val="000000"/>
                <w:szCs w:val="22"/>
              </w:rPr>
              <w:t>Merit-award (first prize) recipient, Sun Yat-</w:t>
            </w:r>
            <w:proofErr w:type="spellStart"/>
            <w:r>
              <w:rPr>
                <w:rFonts w:cs="Arial"/>
                <w:color w:val="000000"/>
                <w:szCs w:val="22"/>
              </w:rPr>
              <w:t>sen</w:t>
            </w:r>
            <w:proofErr w:type="spellEnd"/>
            <w:r>
              <w:rPr>
                <w:rFonts w:cs="Arial"/>
                <w:color w:val="000000"/>
                <w:szCs w:val="22"/>
              </w:rPr>
              <w:t xml:space="preserve"> University, Department of Mathematics</w:t>
            </w:r>
          </w:p>
        </w:tc>
      </w:tr>
      <w:tr w:rsidR="000270E5" w14:paraId="082E5945" w14:textId="77777777" w:rsidTr="000270E5">
        <w:trPr>
          <w:tblCellSpacing w:w="0" w:type="dxa"/>
        </w:trPr>
        <w:tc>
          <w:tcPr>
            <w:tcW w:w="1440" w:type="dxa"/>
            <w:noWrap/>
            <w:hideMark/>
          </w:tcPr>
          <w:p w14:paraId="78950285" w14:textId="77777777" w:rsidR="000270E5" w:rsidRDefault="000270E5">
            <w:pPr>
              <w:rPr>
                <w:rFonts w:cs="Arial"/>
                <w:color w:val="000000"/>
                <w:szCs w:val="22"/>
              </w:rPr>
            </w:pPr>
            <w:r>
              <w:rPr>
                <w:rFonts w:cs="Arial"/>
                <w:color w:val="000000"/>
                <w:szCs w:val="22"/>
              </w:rPr>
              <w:t>1988</w:t>
            </w:r>
          </w:p>
        </w:tc>
        <w:tc>
          <w:tcPr>
            <w:tcW w:w="0" w:type="auto"/>
            <w:vAlign w:val="center"/>
            <w:hideMark/>
          </w:tcPr>
          <w:p w14:paraId="078EB124" w14:textId="77777777" w:rsidR="000270E5" w:rsidRDefault="000270E5">
            <w:pPr>
              <w:rPr>
                <w:rFonts w:cs="Arial"/>
                <w:color w:val="000000"/>
                <w:szCs w:val="22"/>
              </w:rPr>
            </w:pPr>
            <w:r>
              <w:rPr>
                <w:rFonts w:cs="Arial"/>
                <w:color w:val="000000"/>
                <w:szCs w:val="22"/>
              </w:rPr>
              <w:t>Merit-award recipient, Peking University, Department of Probability and Statistics</w:t>
            </w:r>
          </w:p>
        </w:tc>
      </w:tr>
    </w:tbl>
    <w:p w14:paraId="4E6033BE" w14:textId="77777777" w:rsidR="002C51BC" w:rsidRPr="00A128A0" w:rsidRDefault="002C51BC" w:rsidP="002C51BC">
      <w:pPr>
        <w:pStyle w:val="DataField11pt-Single"/>
        <w:rPr>
          <w:rStyle w:val="Strong"/>
        </w:rPr>
      </w:pPr>
    </w:p>
    <w:p w14:paraId="66220B74" w14:textId="0EB70A2F" w:rsidR="002009F6" w:rsidRPr="00A128A0" w:rsidRDefault="002C51BC" w:rsidP="002C51BC">
      <w:pPr>
        <w:pStyle w:val="DataField11pt-Single"/>
        <w:rPr>
          <w:rStyle w:val="Strong"/>
        </w:rPr>
      </w:pPr>
      <w:r w:rsidRPr="00A128A0">
        <w:rPr>
          <w:rStyle w:val="Strong"/>
        </w:rPr>
        <w:t>C.</w:t>
      </w:r>
      <w:r w:rsidRPr="00A128A0">
        <w:rPr>
          <w:rStyle w:val="Strong"/>
        </w:rPr>
        <w:tab/>
        <w:t>Contributions to Science</w:t>
      </w:r>
    </w:p>
    <w:tbl>
      <w:tblPr>
        <w:tblW w:w="5000" w:type="pct"/>
        <w:tblCellSpacing w:w="15" w:type="dxa"/>
        <w:tblCellMar>
          <w:left w:w="0" w:type="dxa"/>
          <w:right w:w="0" w:type="dxa"/>
        </w:tblCellMar>
        <w:tblLook w:val="04A0" w:firstRow="1" w:lastRow="0" w:firstColumn="1" w:lastColumn="0" w:noHBand="0" w:noVBand="1"/>
      </w:tblPr>
      <w:tblGrid>
        <w:gridCol w:w="351"/>
        <w:gridCol w:w="10449"/>
      </w:tblGrid>
      <w:tr w:rsidR="002009F6" w14:paraId="537F2F86" w14:textId="77777777" w:rsidTr="00760202">
        <w:trPr>
          <w:tblCellSpacing w:w="15" w:type="dxa"/>
        </w:trPr>
        <w:tc>
          <w:tcPr>
            <w:tcW w:w="0" w:type="auto"/>
            <w:hideMark/>
          </w:tcPr>
          <w:p w14:paraId="431E5342" w14:textId="77777777" w:rsidR="002009F6" w:rsidRDefault="002009F6" w:rsidP="00760202">
            <w:pPr>
              <w:rPr>
                <w:rFonts w:cs="Arial"/>
                <w:color w:val="000000"/>
                <w:szCs w:val="22"/>
              </w:rPr>
            </w:pPr>
            <w:r>
              <w:rPr>
                <w:rFonts w:cs="Arial"/>
                <w:color w:val="000000"/>
                <w:szCs w:val="22"/>
              </w:rPr>
              <w:t>1.  </w:t>
            </w:r>
          </w:p>
        </w:tc>
        <w:tc>
          <w:tcPr>
            <w:tcW w:w="4900" w:type="pct"/>
            <w:vAlign w:val="center"/>
            <w:hideMark/>
          </w:tcPr>
          <w:p w14:paraId="7D6CD6F3" w14:textId="77777777" w:rsidR="002009F6" w:rsidRDefault="002009F6" w:rsidP="00760202">
            <w:pPr>
              <w:rPr>
                <w:rFonts w:cs="Arial"/>
                <w:color w:val="000000"/>
                <w:szCs w:val="22"/>
              </w:rPr>
            </w:pPr>
            <w:r w:rsidRPr="00225136">
              <w:rPr>
                <w:rFonts w:cs="Arial"/>
                <w:b/>
                <w:color w:val="000000"/>
                <w:szCs w:val="22"/>
                <w:u w:val="single"/>
              </w:rPr>
              <w:t>The uniform shrinkage priors (USPs).</w:t>
            </w:r>
            <w:r>
              <w:rPr>
                <w:rFonts w:cs="Arial"/>
                <w:color w:val="000000"/>
                <w:szCs w:val="22"/>
              </w:rPr>
              <w:t> The uniform shrinkage priors (USPs) for the random-effect variance or covariance matrix in Bayesian linear or generalized linear mixed models were developed in 1999 and 2000. This approach provided an excellent alternative to the commonly used diffuse proper priors, which are known to have issues of posterior near-impropriety and sensitivity of the inference to the prior specification. Despite the satisfactory performance of the USPs, this approach has not been widely used because it was only developed for simple two-stage hierarchical models, due to both conceptual and technical difficulties in extending the method to more general hierarchical models. I extended the definition of the USP to semiparametric mixed-effects models and showed desirable properties of the new prior both analytically and empirically via simulations. Further extension of this prior specification in a general class of mixed-effects models is currently underway. In all the work, I developed the original idea of the extension and carried out most of the modeling and implementation work that has led to the publication of the following paper. Authors marked with a * are co-first authors, both being my PhD students.</w:t>
            </w:r>
          </w:p>
        </w:tc>
      </w:tr>
      <w:tr w:rsidR="002009F6" w14:paraId="4DFBE127" w14:textId="77777777" w:rsidTr="00760202">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576"/>
              <w:gridCol w:w="10102"/>
              <w:gridCol w:w="62"/>
            </w:tblGrid>
            <w:tr w:rsidR="002009F6" w14:paraId="3BA93D01" w14:textId="77777777" w:rsidTr="00760202">
              <w:trPr>
                <w:tblCellSpacing w:w="0" w:type="dxa"/>
              </w:trPr>
              <w:tc>
                <w:tcPr>
                  <w:tcW w:w="576" w:type="dxa"/>
                  <w:noWrap/>
                  <w:tcMar>
                    <w:top w:w="0" w:type="dxa"/>
                    <w:left w:w="0" w:type="dxa"/>
                    <w:bottom w:w="0" w:type="dxa"/>
                    <w:right w:w="75" w:type="dxa"/>
                  </w:tcMar>
                  <w:hideMark/>
                </w:tcPr>
                <w:p w14:paraId="514EFC46" w14:textId="77777777" w:rsidR="002009F6" w:rsidRDefault="002009F6" w:rsidP="00760202">
                  <w:pPr>
                    <w:jc w:val="right"/>
                    <w:rPr>
                      <w:rFonts w:cs="Arial"/>
                      <w:color w:val="000000"/>
                      <w:szCs w:val="22"/>
                    </w:rPr>
                  </w:pPr>
                  <w:r>
                    <w:rPr>
                      <w:rFonts w:cs="Arial"/>
                      <w:color w:val="000000"/>
                      <w:szCs w:val="22"/>
                    </w:rPr>
                    <w:t>a.</w:t>
                  </w:r>
                </w:p>
              </w:tc>
              <w:tc>
                <w:tcPr>
                  <w:tcW w:w="0" w:type="auto"/>
                  <w:vAlign w:val="center"/>
                  <w:hideMark/>
                </w:tcPr>
                <w:p w14:paraId="5E30E60A" w14:textId="4269E33F" w:rsidR="002009F6" w:rsidRDefault="002009F6" w:rsidP="00760202">
                  <w:pPr>
                    <w:rPr>
                      <w:rFonts w:cs="Arial"/>
                      <w:color w:val="000000"/>
                      <w:szCs w:val="22"/>
                    </w:rPr>
                  </w:pPr>
                  <w:r>
                    <w:rPr>
                      <w:rFonts w:cs="Arial"/>
                      <w:b/>
                      <w:bCs/>
                      <w:color w:val="000000"/>
                      <w:szCs w:val="22"/>
                    </w:rPr>
                    <w:t>Li Y</w:t>
                  </w:r>
                  <w:r>
                    <w:rPr>
                      <w:rFonts w:cs="Arial"/>
                      <w:color w:val="000000"/>
                      <w:szCs w:val="22"/>
                    </w:rPr>
                    <w:t xml:space="preserve">, Lin X, Müller P. Bayesian inference in semiparametric mixed models for longitudinal data. Biometrics 66(1):70-78, 3/2010. PMCID: </w:t>
                  </w:r>
                  <w:r w:rsidRPr="002009F6">
                    <w:rPr>
                      <w:rFonts w:cs="Arial"/>
                      <w:color w:val="000000"/>
                      <w:szCs w:val="22"/>
                    </w:rPr>
                    <w:t>PMC3081790</w:t>
                  </w:r>
                  <w:r>
                    <w:rPr>
                      <w:rFonts w:cs="Arial"/>
                      <w:color w:val="000000"/>
                      <w:szCs w:val="22"/>
                    </w:rPr>
                    <w:t xml:space="preserve">. </w:t>
                  </w:r>
                </w:p>
              </w:tc>
              <w:tc>
                <w:tcPr>
                  <w:tcW w:w="0" w:type="auto"/>
                  <w:vAlign w:val="center"/>
                  <w:hideMark/>
                </w:tcPr>
                <w:p w14:paraId="14F5FAF5" w14:textId="77777777" w:rsidR="002009F6" w:rsidRDefault="002009F6" w:rsidP="00760202">
                  <w:pPr>
                    <w:rPr>
                      <w:rFonts w:cs="Arial"/>
                      <w:color w:val="000000"/>
                      <w:szCs w:val="22"/>
                    </w:rPr>
                  </w:pPr>
                  <w:r>
                    <w:rPr>
                      <w:rFonts w:cs="Arial"/>
                      <w:color w:val="000000"/>
                      <w:szCs w:val="22"/>
                    </w:rPr>
                    <w:t> </w:t>
                  </w:r>
                </w:p>
              </w:tc>
            </w:tr>
            <w:tr w:rsidR="002009F6" w14:paraId="701A0FB2" w14:textId="77777777" w:rsidTr="00760202">
              <w:trPr>
                <w:tblCellSpacing w:w="0" w:type="dxa"/>
              </w:trPr>
              <w:tc>
                <w:tcPr>
                  <w:tcW w:w="576" w:type="dxa"/>
                  <w:noWrap/>
                  <w:tcMar>
                    <w:top w:w="0" w:type="dxa"/>
                    <w:left w:w="0" w:type="dxa"/>
                    <w:bottom w:w="0" w:type="dxa"/>
                    <w:right w:w="75" w:type="dxa"/>
                  </w:tcMar>
                  <w:hideMark/>
                </w:tcPr>
                <w:p w14:paraId="66962B73" w14:textId="77777777" w:rsidR="002009F6" w:rsidRDefault="002009F6" w:rsidP="00760202">
                  <w:pPr>
                    <w:jc w:val="right"/>
                    <w:rPr>
                      <w:rFonts w:cs="Arial"/>
                      <w:color w:val="000000"/>
                      <w:szCs w:val="22"/>
                    </w:rPr>
                  </w:pPr>
                  <w:r>
                    <w:rPr>
                      <w:rFonts w:cs="Arial"/>
                      <w:color w:val="000000"/>
                      <w:szCs w:val="22"/>
                    </w:rPr>
                    <w:t>b.</w:t>
                  </w:r>
                </w:p>
              </w:tc>
              <w:tc>
                <w:tcPr>
                  <w:tcW w:w="0" w:type="auto"/>
                  <w:vAlign w:val="center"/>
                  <w:hideMark/>
                </w:tcPr>
                <w:p w14:paraId="2A0DBDAF" w14:textId="77777777" w:rsidR="002009F6" w:rsidRDefault="002009F6" w:rsidP="00760202">
                  <w:pPr>
                    <w:rPr>
                      <w:rFonts w:cs="Arial"/>
                      <w:color w:val="000000"/>
                      <w:szCs w:val="22"/>
                    </w:rPr>
                  </w:pPr>
                  <w:r>
                    <w:rPr>
                      <w:rFonts w:cs="Arial"/>
                      <w:color w:val="000000"/>
                      <w:szCs w:val="22"/>
                    </w:rPr>
                    <w:t xml:space="preserve">*Lekdee K, *Yang C, </w:t>
                  </w:r>
                  <w:proofErr w:type="spellStart"/>
                  <w:r>
                    <w:rPr>
                      <w:rFonts w:cs="Arial"/>
                      <w:color w:val="000000"/>
                      <w:szCs w:val="22"/>
                    </w:rPr>
                    <w:t>Ingsrisawang</w:t>
                  </w:r>
                  <w:proofErr w:type="spellEnd"/>
                  <w:r>
                    <w:rPr>
                      <w:rFonts w:cs="Arial"/>
                      <w:color w:val="000000"/>
                      <w:szCs w:val="22"/>
                    </w:rPr>
                    <w:t xml:space="preserve"> Lily, </w:t>
                  </w:r>
                  <w:r>
                    <w:rPr>
                      <w:rFonts w:cs="Arial"/>
                      <w:b/>
                      <w:bCs/>
                      <w:color w:val="000000"/>
                      <w:szCs w:val="22"/>
                    </w:rPr>
                    <w:t>Li Y</w:t>
                  </w:r>
                  <w:r>
                    <w:rPr>
                      <w:rFonts w:cs="Arial"/>
                      <w:color w:val="000000"/>
                      <w:szCs w:val="22"/>
                    </w:rPr>
                    <w:t xml:space="preserve">. A uniform shrinkage prior in spatiotemporal Poisson models for count data. In: Modern Statistical Methods for Health Research. Emerging Topics in Statistics and Biostatistics., First edition. Ed(s) Zhao Y, Chen DG. Springer: Cham, 83-102, 2021. PMID: 978-3-030-72436-8. </w:t>
                  </w:r>
                </w:p>
              </w:tc>
              <w:tc>
                <w:tcPr>
                  <w:tcW w:w="0" w:type="auto"/>
                  <w:vAlign w:val="center"/>
                  <w:hideMark/>
                </w:tcPr>
                <w:p w14:paraId="6C32B36B" w14:textId="77777777" w:rsidR="002009F6" w:rsidRDefault="002009F6" w:rsidP="00760202">
                  <w:pPr>
                    <w:rPr>
                      <w:rFonts w:cs="Arial"/>
                      <w:color w:val="000000"/>
                      <w:szCs w:val="22"/>
                    </w:rPr>
                  </w:pPr>
                  <w:r>
                    <w:rPr>
                      <w:rFonts w:cs="Arial"/>
                      <w:color w:val="000000"/>
                      <w:szCs w:val="22"/>
                    </w:rPr>
                    <w:t> </w:t>
                  </w:r>
                </w:p>
              </w:tc>
            </w:tr>
          </w:tbl>
          <w:p w14:paraId="32D91B5F" w14:textId="77777777" w:rsidR="002009F6" w:rsidRDefault="002009F6" w:rsidP="00760202">
            <w:pPr>
              <w:rPr>
                <w:rFonts w:cs="Arial"/>
                <w:color w:val="000000"/>
                <w:szCs w:val="22"/>
              </w:rPr>
            </w:pPr>
          </w:p>
        </w:tc>
      </w:tr>
      <w:tr w:rsidR="002009F6" w14:paraId="2FC37B01" w14:textId="77777777" w:rsidTr="00760202">
        <w:trPr>
          <w:tblCellSpacing w:w="15" w:type="dxa"/>
        </w:trPr>
        <w:tc>
          <w:tcPr>
            <w:tcW w:w="0" w:type="auto"/>
            <w:hideMark/>
          </w:tcPr>
          <w:p w14:paraId="52F9869C" w14:textId="77777777" w:rsidR="002009F6" w:rsidRDefault="002009F6" w:rsidP="00760202">
            <w:pPr>
              <w:rPr>
                <w:rFonts w:cs="Arial"/>
                <w:color w:val="000000"/>
                <w:szCs w:val="22"/>
              </w:rPr>
            </w:pPr>
            <w:r>
              <w:rPr>
                <w:rFonts w:cs="Arial"/>
                <w:color w:val="000000"/>
                <w:szCs w:val="22"/>
              </w:rPr>
              <w:t>2.  </w:t>
            </w:r>
          </w:p>
        </w:tc>
        <w:tc>
          <w:tcPr>
            <w:tcW w:w="4900" w:type="pct"/>
            <w:vAlign w:val="center"/>
            <w:hideMark/>
          </w:tcPr>
          <w:p w14:paraId="49ADE8A9" w14:textId="77777777" w:rsidR="002009F6" w:rsidRDefault="002009F6" w:rsidP="00760202">
            <w:pPr>
              <w:rPr>
                <w:rFonts w:cs="Arial"/>
                <w:color w:val="000000"/>
                <w:szCs w:val="22"/>
              </w:rPr>
            </w:pPr>
            <w:r w:rsidRPr="00225136">
              <w:rPr>
                <w:rFonts w:cs="Arial"/>
                <w:b/>
                <w:color w:val="000000"/>
                <w:szCs w:val="22"/>
                <w:u w:val="single"/>
              </w:rPr>
              <w:t>Nonparametric modeling of an unknown distribution.</w:t>
            </w:r>
            <w:r>
              <w:rPr>
                <w:rFonts w:cs="Arial"/>
                <w:color w:val="000000"/>
                <w:szCs w:val="22"/>
              </w:rPr>
              <w:t> Nonparametric modeling of an unknown distribution</w:t>
            </w:r>
            <w:proofErr w:type="gramStart"/>
            <w:r>
              <w:rPr>
                <w:rFonts w:cs="Arial"/>
                <w:color w:val="000000"/>
                <w:szCs w:val="22"/>
              </w:rPr>
              <w:t>, in particular, using</w:t>
            </w:r>
            <w:proofErr w:type="gramEnd"/>
            <w:r>
              <w:rPr>
                <w:rFonts w:cs="Arial"/>
                <w:color w:val="000000"/>
                <w:szCs w:val="22"/>
              </w:rPr>
              <w:t xml:space="preserve"> the Dirichlet process prior, is at the center of robust inferences in Bayesian hierarchical models. When this approach is used in random-effects model, an identifiability issue arises which, if not addressed, will result in incorrect and seriously misleading inferences for the fixed effects that are often of scientific interest. I formally pointed out the issue and proposed a simple yet effective adjustment to inference based on analytic evaluation of the posterior moments of the fixed effects that addressed the identifiability issue. This work has solved a long-standing identifiability problem in nonparametric Bayesian inference using the Dirichlet process prior, thus allowing its wide use for valid inferences in Bayesian hierarchical models.</w:t>
            </w:r>
          </w:p>
        </w:tc>
      </w:tr>
      <w:tr w:rsidR="002009F6" w14:paraId="5773114B" w14:textId="77777777" w:rsidTr="00760202">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576"/>
              <w:gridCol w:w="10102"/>
              <w:gridCol w:w="62"/>
            </w:tblGrid>
            <w:tr w:rsidR="002009F6" w14:paraId="26F8AFEA" w14:textId="77777777" w:rsidTr="00760202">
              <w:trPr>
                <w:tblCellSpacing w:w="0" w:type="dxa"/>
              </w:trPr>
              <w:tc>
                <w:tcPr>
                  <w:tcW w:w="576" w:type="dxa"/>
                  <w:noWrap/>
                  <w:tcMar>
                    <w:top w:w="0" w:type="dxa"/>
                    <w:left w:w="0" w:type="dxa"/>
                    <w:bottom w:w="0" w:type="dxa"/>
                    <w:right w:w="75" w:type="dxa"/>
                  </w:tcMar>
                  <w:hideMark/>
                </w:tcPr>
                <w:p w14:paraId="7952A682" w14:textId="77777777" w:rsidR="002009F6" w:rsidRDefault="002009F6" w:rsidP="00760202">
                  <w:pPr>
                    <w:jc w:val="right"/>
                    <w:rPr>
                      <w:rFonts w:cs="Arial"/>
                      <w:color w:val="000000"/>
                      <w:szCs w:val="22"/>
                    </w:rPr>
                  </w:pPr>
                  <w:r>
                    <w:rPr>
                      <w:rFonts w:cs="Arial"/>
                      <w:color w:val="000000"/>
                      <w:szCs w:val="22"/>
                    </w:rPr>
                    <w:t>a.</w:t>
                  </w:r>
                </w:p>
              </w:tc>
              <w:tc>
                <w:tcPr>
                  <w:tcW w:w="0" w:type="auto"/>
                  <w:vAlign w:val="center"/>
                  <w:hideMark/>
                </w:tcPr>
                <w:p w14:paraId="72CABE90" w14:textId="1213C31E" w:rsidR="002009F6" w:rsidRDefault="002009F6" w:rsidP="00760202">
                  <w:pPr>
                    <w:rPr>
                      <w:rFonts w:cs="Arial"/>
                      <w:color w:val="000000"/>
                      <w:szCs w:val="22"/>
                    </w:rPr>
                  </w:pPr>
                  <w:r>
                    <w:rPr>
                      <w:rFonts w:cs="Arial"/>
                      <w:b/>
                      <w:bCs/>
                      <w:color w:val="000000"/>
                      <w:szCs w:val="22"/>
                    </w:rPr>
                    <w:t>Li Y</w:t>
                  </w:r>
                  <w:r>
                    <w:rPr>
                      <w:rFonts w:cs="Arial"/>
                      <w:color w:val="000000"/>
                      <w:szCs w:val="22"/>
                    </w:rPr>
                    <w:t xml:space="preserve">, Müller P, Lin X. Center-adjusted inference for a nonparametric Bayesian random effect distribution. </w:t>
                  </w:r>
                  <w:proofErr w:type="spellStart"/>
                  <w:r>
                    <w:rPr>
                      <w:rFonts w:cs="Arial"/>
                      <w:color w:val="000000"/>
                      <w:szCs w:val="22"/>
                    </w:rPr>
                    <w:t>Statistica</w:t>
                  </w:r>
                  <w:proofErr w:type="spellEnd"/>
                  <w:r>
                    <w:rPr>
                      <w:rFonts w:cs="Arial"/>
                      <w:color w:val="000000"/>
                      <w:szCs w:val="22"/>
                    </w:rPr>
                    <w:t xml:space="preserve"> </w:t>
                  </w:r>
                  <w:proofErr w:type="spellStart"/>
                  <w:r>
                    <w:rPr>
                      <w:rFonts w:cs="Arial"/>
                      <w:color w:val="000000"/>
                      <w:szCs w:val="22"/>
                    </w:rPr>
                    <w:t>Sinica</w:t>
                  </w:r>
                  <w:proofErr w:type="spellEnd"/>
                  <w:r>
                    <w:rPr>
                      <w:rFonts w:cs="Arial"/>
                      <w:color w:val="000000"/>
                      <w:szCs w:val="22"/>
                    </w:rPr>
                    <w:t xml:space="preserve"> 21(3):1201-1223, 7/2011. PMCID: </w:t>
                  </w:r>
                  <w:r w:rsidRPr="002009F6">
                    <w:rPr>
                      <w:rFonts w:cs="Arial"/>
                      <w:color w:val="000000"/>
                      <w:szCs w:val="22"/>
                    </w:rPr>
                    <w:t>PMC3870168</w:t>
                  </w:r>
                  <w:r>
                    <w:rPr>
                      <w:rFonts w:cs="Arial"/>
                      <w:color w:val="000000"/>
                      <w:szCs w:val="22"/>
                    </w:rPr>
                    <w:t xml:space="preserve">. </w:t>
                  </w:r>
                </w:p>
              </w:tc>
              <w:tc>
                <w:tcPr>
                  <w:tcW w:w="0" w:type="auto"/>
                  <w:vAlign w:val="center"/>
                  <w:hideMark/>
                </w:tcPr>
                <w:p w14:paraId="66FD8588" w14:textId="77777777" w:rsidR="002009F6" w:rsidRDefault="002009F6" w:rsidP="00760202">
                  <w:pPr>
                    <w:rPr>
                      <w:rFonts w:cs="Arial"/>
                      <w:color w:val="000000"/>
                      <w:szCs w:val="22"/>
                    </w:rPr>
                  </w:pPr>
                  <w:r>
                    <w:rPr>
                      <w:rFonts w:cs="Arial"/>
                      <w:color w:val="000000"/>
                      <w:szCs w:val="22"/>
                    </w:rPr>
                    <w:t> </w:t>
                  </w:r>
                </w:p>
              </w:tc>
            </w:tr>
          </w:tbl>
          <w:p w14:paraId="2D816100" w14:textId="77777777" w:rsidR="002009F6" w:rsidRDefault="002009F6" w:rsidP="00760202">
            <w:pPr>
              <w:rPr>
                <w:rFonts w:cs="Arial"/>
                <w:color w:val="000000"/>
                <w:szCs w:val="22"/>
              </w:rPr>
            </w:pPr>
          </w:p>
        </w:tc>
      </w:tr>
      <w:tr w:rsidR="002009F6" w14:paraId="686A76DE" w14:textId="77777777" w:rsidTr="00760202">
        <w:trPr>
          <w:tblCellSpacing w:w="15" w:type="dxa"/>
        </w:trPr>
        <w:tc>
          <w:tcPr>
            <w:tcW w:w="0" w:type="auto"/>
            <w:hideMark/>
          </w:tcPr>
          <w:p w14:paraId="746B5158" w14:textId="77777777" w:rsidR="002009F6" w:rsidRDefault="002009F6" w:rsidP="00760202">
            <w:pPr>
              <w:rPr>
                <w:rFonts w:cs="Arial"/>
                <w:color w:val="000000"/>
                <w:szCs w:val="22"/>
              </w:rPr>
            </w:pPr>
            <w:r>
              <w:rPr>
                <w:rFonts w:cs="Arial"/>
                <w:color w:val="000000"/>
                <w:szCs w:val="22"/>
              </w:rPr>
              <w:lastRenderedPageBreak/>
              <w:t>3.  </w:t>
            </w:r>
          </w:p>
        </w:tc>
        <w:tc>
          <w:tcPr>
            <w:tcW w:w="4900" w:type="pct"/>
            <w:vAlign w:val="center"/>
            <w:hideMark/>
          </w:tcPr>
          <w:p w14:paraId="541C9AC6" w14:textId="77777777" w:rsidR="002009F6" w:rsidRDefault="002009F6" w:rsidP="00760202">
            <w:pPr>
              <w:rPr>
                <w:rFonts w:cs="Arial"/>
                <w:color w:val="000000"/>
                <w:szCs w:val="22"/>
              </w:rPr>
            </w:pPr>
            <w:r w:rsidRPr="00225136">
              <w:rPr>
                <w:rFonts w:cs="Arial"/>
                <w:b/>
                <w:color w:val="000000"/>
                <w:szCs w:val="22"/>
                <w:u w:val="single"/>
              </w:rPr>
              <w:t>Dose and dose-schedule finding.</w:t>
            </w:r>
            <w:r>
              <w:rPr>
                <w:rFonts w:cs="Arial"/>
                <w:color w:val="000000"/>
                <w:szCs w:val="22"/>
              </w:rPr>
              <w:t> Dose finding and dose-schedule finding are critical early steps in the development of drugs that treat cancer. Along with colleagues, I have developed efficient and robust designs for dose-finding and dose-schedule-finding trials that have improved the drug development process. Examples of our proposed designs include the modified toxicity probability interval-based designs, which have been routinely used by practitioners including major pharmaceutical companies. I have also mentored trainees (marked by a * below) in developing other novel and efficient designs for dose- and dose-schedule-finding trials.</w:t>
            </w:r>
          </w:p>
        </w:tc>
      </w:tr>
      <w:tr w:rsidR="002009F6" w14:paraId="22503D32" w14:textId="77777777" w:rsidTr="00760202">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576"/>
              <w:gridCol w:w="10102"/>
              <w:gridCol w:w="62"/>
            </w:tblGrid>
            <w:tr w:rsidR="002009F6" w14:paraId="6B405216" w14:textId="77777777" w:rsidTr="00760202">
              <w:trPr>
                <w:tblCellSpacing w:w="0" w:type="dxa"/>
              </w:trPr>
              <w:tc>
                <w:tcPr>
                  <w:tcW w:w="576" w:type="dxa"/>
                  <w:noWrap/>
                  <w:tcMar>
                    <w:top w:w="0" w:type="dxa"/>
                    <w:left w:w="0" w:type="dxa"/>
                    <w:bottom w:w="0" w:type="dxa"/>
                    <w:right w:w="75" w:type="dxa"/>
                  </w:tcMar>
                  <w:hideMark/>
                </w:tcPr>
                <w:p w14:paraId="0921322A" w14:textId="2F60F790" w:rsidR="002009F6" w:rsidRDefault="00667845" w:rsidP="00760202">
                  <w:pPr>
                    <w:jc w:val="right"/>
                    <w:rPr>
                      <w:rFonts w:cs="Arial"/>
                      <w:color w:val="000000"/>
                      <w:szCs w:val="22"/>
                    </w:rPr>
                  </w:pPr>
                  <w:r>
                    <w:rPr>
                      <w:rFonts w:cs="Arial"/>
                      <w:color w:val="000000"/>
                      <w:szCs w:val="22"/>
                    </w:rPr>
                    <w:t>a</w:t>
                  </w:r>
                  <w:r w:rsidR="002009F6">
                    <w:rPr>
                      <w:rFonts w:cs="Arial"/>
                      <w:color w:val="000000"/>
                      <w:szCs w:val="22"/>
                    </w:rPr>
                    <w:t>.</w:t>
                  </w:r>
                </w:p>
              </w:tc>
              <w:tc>
                <w:tcPr>
                  <w:tcW w:w="0" w:type="auto"/>
                  <w:vAlign w:val="center"/>
                  <w:hideMark/>
                </w:tcPr>
                <w:p w14:paraId="598E3D90" w14:textId="5F888C75" w:rsidR="002009F6" w:rsidRDefault="002009F6" w:rsidP="00760202">
                  <w:pPr>
                    <w:rPr>
                      <w:rFonts w:cs="Arial"/>
                      <w:color w:val="000000"/>
                      <w:szCs w:val="22"/>
                    </w:rPr>
                  </w:pPr>
                  <w:r>
                    <w:rPr>
                      <w:rFonts w:cs="Arial"/>
                      <w:color w:val="000000"/>
                      <w:szCs w:val="22"/>
                    </w:rPr>
                    <w:t xml:space="preserve">*Guo B, </w:t>
                  </w:r>
                  <w:r>
                    <w:rPr>
                      <w:rFonts w:cs="Arial"/>
                      <w:b/>
                      <w:bCs/>
                      <w:color w:val="000000"/>
                      <w:szCs w:val="22"/>
                    </w:rPr>
                    <w:t>Li Y</w:t>
                  </w:r>
                  <w:r>
                    <w:rPr>
                      <w:rFonts w:cs="Arial"/>
                      <w:color w:val="000000"/>
                      <w:szCs w:val="22"/>
                    </w:rPr>
                    <w:t xml:space="preserve">. Bayesian dose-finding designs for combination of molecularly targeted agents assuming partial stochastic ordering. Stat Med 34(5):859-875, 2/2015. PMCID: </w:t>
                  </w:r>
                  <w:r w:rsidRPr="002009F6">
                    <w:rPr>
                      <w:rFonts w:cs="Arial"/>
                      <w:color w:val="000000"/>
                      <w:szCs w:val="22"/>
                    </w:rPr>
                    <w:t>PMC4359011</w:t>
                  </w:r>
                  <w:r>
                    <w:rPr>
                      <w:rFonts w:cs="Arial"/>
                      <w:color w:val="000000"/>
                      <w:szCs w:val="22"/>
                    </w:rPr>
                    <w:t xml:space="preserve">. </w:t>
                  </w:r>
                </w:p>
              </w:tc>
              <w:tc>
                <w:tcPr>
                  <w:tcW w:w="0" w:type="auto"/>
                  <w:vAlign w:val="center"/>
                  <w:hideMark/>
                </w:tcPr>
                <w:p w14:paraId="40DCA204" w14:textId="77777777" w:rsidR="002009F6" w:rsidRDefault="002009F6" w:rsidP="00760202">
                  <w:pPr>
                    <w:rPr>
                      <w:rFonts w:cs="Arial"/>
                      <w:color w:val="000000"/>
                      <w:szCs w:val="22"/>
                    </w:rPr>
                  </w:pPr>
                  <w:r>
                    <w:rPr>
                      <w:rFonts w:cs="Arial"/>
                      <w:color w:val="000000"/>
                      <w:szCs w:val="22"/>
                    </w:rPr>
                    <w:t> </w:t>
                  </w:r>
                </w:p>
              </w:tc>
            </w:tr>
            <w:tr w:rsidR="002009F6" w14:paraId="6A8F4153" w14:textId="77777777" w:rsidTr="00760202">
              <w:trPr>
                <w:tblCellSpacing w:w="0" w:type="dxa"/>
              </w:trPr>
              <w:tc>
                <w:tcPr>
                  <w:tcW w:w="576" w:type="dxa"/>
                  <w:noWrap/>
                  <w:tcMar>
                    <w:top w:w="0" w:type="dxa"/>
                    <w:left w:w="0" w:type="dxa"/>
                    <w:bottom w:w="0" w:type="dxa"/>
                    <w:right w:w="75" w:type="dxa"/>
                  </w:tcMar>
                  <w:hideMark/>
                </w:tcPr>
                <w:p w14:paraId="1D99FFA5" w14:textId="360616A5" w:rsidR="002009F6" w:rsidRDefault="00667845" w:rsidP="00760202">
                  <w:pPr>
                    <w:jc w:val="right"/>
                    <w:rPr>
                      <w:rFonts w:cs="Arial"/>
                      <w:color w:val="000000"/>
                      <w:szCs w:val="22"/>
                    </w:rPr>
                  </w:pPr>
                  <w:r>
                    <w:rPr>
                      <w:rFonts w:cs="Arial"/>
                      <w:color w:val="000000"/>
                      <w:szCs w:val="22"/>
                    </w:rPr>
                    <w:t>b</w:t>
                  </w:r>
                  <w:r w:rsidR="002009F6">
                    <w:rPr>
                      <w:rFonts w:cs="Arial"/>
                      <w:color w:val="000000"/>
                      <w:szCs w:val="22"/>
                    </w:rPr>
                    <w:t>.</w:t>
                  </w:r>
                </w:p>
              </w:tc>
              <w:tc>
                <w:tcPr>
                  <w:tcW w:w="0" w:type="auto"/>
                  <w:vAlign w:val="center"/>
                  <w:hideMark/>
                </w:tcPr>
                <w:p w14:paraId="37F114EA" w14:textId="570AE166" w:rsidR="002009F6" w:rsidRDefault="002009F6" w:rsidP="00760202">
                  <w:pPr>
                    <w:rPr>
                      <w:rFonts w:cs="Arial"/>
                      <w:color w:val="000000"/>
                      <w:szCs w:val="22"/>
                    </w:rPr>
                  </w:pPr>
                  <w:r>
                    <w:rPr>
                      <w:rFonts w:cs="Arial"/>
                      <w:color w:val="000000"/>
                      <w:szCs w:val="22"/>
                    </w:rPr>
                    <w:t xml:space="preserve">*Guo B, </w:t>
                  </w:r>
                  <w:r>
                    <w:rPr>
                      <w:rFonts w:cs="Arial"/>
                      <w:b/>
                      <w:bCs/>
                      <w:color w:val="000000"/>
                      <w:szCs w:val="22"/>
                    </w:rPr>
                    <w:t>Li Y</w:t>
                  </w:r>
                  <w:r>
                    <w:rPr>
                      <w:rFonts w:cs="Arial"/>
                      <w:color w:val="000000"/>
                      <w:szCs w:val="22"/>
                    </w:rPr>
                    <w:t xml:space="preserve">, Yuan Y. A dose-schedule-finding design for phase I/II clinical trials. J R Stat Soc Ser C Appl Stat 65(2):259-272, 2/2016. PMCID: </w:t>
                  </w:r>
                  <w:r w:rsidRPr="002009F6">
                    <w:rPr>
                      <w:rFonts w:cs="Arial"/>
                      <w:color w:val="000000"/>
                      <w:szCs w:val="22"/>
                    </w:rPr>
                    <w:t>PMC4747255</w:t>
                  </w:r>
                  <w:r>
                    <w:rPr>
                      <w:rFonts w:cs="Arial"/>
                      <w:color w:val="000000"/>
                      <w:szCs w:val="22"/>
                    </w:rPr>
                    <w:t xml:space="preserve">. </w:t>
                  </w:r>
                </w:p>
              </w:tc>
              <w:tc>
                <w:tcPr>
                  <w:tcW w:w="0" w:type="auto"/>
                  <w:vAlign w:val="center"/>
                  <w:hideMark/>
                </w:tcPr>
                <w:p w14:paraId="36BC22C9" w14:textId="77777777" w:rsidR="002009F6" w:rsidRDefault="002009F6" w:rsidP="00760202">
                  <w:pPr>
                    <w:rPr>
                      <w:rFonts w:cs="Arial"/>
                      <w:color w:val="000000"/>
                      <w:szCs w:val="22"/>
                    </w:rPr>
                  </w:pPr>
                  <w:r>
                    <w:rPr>
                      <w:rFonts w:cs="Arial"/>
                      <w:color w:val="000000"/>
                      <w:szCs w:val="22"/>
                    </w:rPr>
                    <w:t> </w:t>
                  </w:r>
                </w:p>
              </w:tc>
            </w:tr>
            <w:tr w:rsidR="00667845" w14:paraId="241E1996" w14:textId="77777777" w:rsidTr="00760202">
              <w:trPr>
                <w:tblCellSpacing w:w="0" w:type="dxa"/>
              </w:trPr>
              <w:tc>
                <w:tcPr>
                  <w:tcW w:w="576" w:type="dxa"/>
                  <w:noWrap/>
                  <w:tcMar>
                    <w:top w:w="0" w:type="dxa"/>
                    <w:left w:w="0" w:type="dxa"/>
                    <w:bottom w:w="0" w:type="dxa"/>
                    <w:right w:w="75" w:type="dxa"/>
                  </w:tcMar>
                </w:tcPr>
                <w:p w14:paraId="590115D8" w14:textId="6FED54F3" w:rsidR="00667845" w:rsidRDefault="00667845" w:rsidP="00760202">
                  <w:pPr>
                    <w:jc w:val="right"/>
                    <w:rPr>
                      <w:rFonts w:cs="Arial"/>
                      <w:color w:val="000000"/>
                      <w:szCs w:val="22"/>
                    </w:rPr>
                  </w:pPr>
                  <w:r>
                    <w:rPr>
                      <w:rFonts w:cs="Arial"/>
                      <w:color w:val="000000"/>
                      <w:szCs w:val="22"/>
                    </w:rPr>
                    <w:t xml:space="preserve">c. </w:t>
                  </w:r>
                </w:p>
              </w:tc>
              <w:tc>
                <w:tcPr>
                  <w:tcW w:w="0" w:type="auto"/>
                  <w:vAlign w:val="center"/>
                </w:tcPr>
                <w:p w14:paraId="19AFF183" w14:textId="1601FC80" w:rsidR="00667845" w:rsidRDefault="00667845" w:rsidP="00760202">
                  <w:pPr>
                    <w:rPr>
                      <w:rFonts w:cs="Arial"/>
                      <w:color w:val="000000"/>
                      <w:szCs w:val="22"/>
                    </w:rPr>
                  </w:pPr>
                  <w:r w:rsidRPr="00667845">
                    <w:rPr>
                      <w:rFonts w:cs="Arial"/>
                      <w:color w:val="000000"/>
                      <w:szCs w:val="22"/>
                    </w:rPr>
                    <w:t xml:space="preserve">*Su X, </w:t>
                  </w:r>
                  <w:r w:rsidRPr="009F5E34">
                    <w:rPr>
                      <w:rFonts w:cs="Arial"/>
                      <w:b/>
                      <w:bCs/>
                      <w:color w:val="000000"/>
                      <w:szCs w:val="22"/>
                    </w:rPr>
                    <w:t>Li Y</w:t>
                  </w:r>
                  <w:r w:rsidRPr="00667845">
                    <w:rPr>
                      <w:rFonts w:cs="Arial"/>
                      <w:color w:val="000000"/>
                      <w:szCs w:val="22"/>
                    </w:rPr>
                    <w:t>, Müller P, Hsu C-W, Pan H, Do K-A. A semi-mechanistic dose-finding design in oncology using pharmacokinetic/pharmacodynamic modeling. Pharm</w:t>
                  </w:r>
                  <w:r w:rsidR="00BA130F">
                    <w:rPr>
                      <w:rFonts w:cs="Arial"/>
                      <w:color w:val="000000"/>
                      <w:szCs w:val="22"/>
                    </w:rPr>
                    <w:t xml:space="preserve"> </w:t>
                  </w:r>
                  <w:r w:rsidRPr="00667845">
                    <w:rPr>
                      <w:rFonts w:cs="Arial"/>
                      <w:color w:val="000000"/>
                      <w:szCs w:val="22"/>
                    </w:rPr>
                    <w:t>Stat 21(6):1149-1166, 11/2022. PMCID: PMC10134386.</w:t>
                  </w:r>
                </w:p>
              </w:tc>
              <w:tc>
                <w:tcPr>
                  <w:tcW w:w="0" w:type="auto"/>
                  <w:vAlign w:val="center"/>
                </w:tcPr>
                <w:p w14:paraId="0DD0F39A" w14:textId="77777777" w:rsidR="00667845" w:rsidRDefault="00667845" w:rsidP="00760202">
                  <w:pPr>
                    <w:rPr>
                      <w:rFonts w:cs="Arial"/>
                      <w:color w:val="000000"/>
                      <w:szCs w:val="22"/>
                    </w:rPr>
                  </w:pPr>
                </w:p>
              </w:tc>
            </w:tr>
            <w:tr w:rsidR="00667845" w14:paraId="5966D980" w14:textId="77777777" w:rsidTr="00760202">
              <w:trPr>
                <w:tblCellSpacing w:w="0" w:type="dxa"/>
              </w:trPr>
              <w:tc>
                <w:tcPr>
                  <w:tcW w:w="576" w:type="dxa"/>
                  <w:noWrap/>
                  <w:tcMar>
                    <w:top w:w="0" w:type="dxa"/>
                    <w:left w:w="0" w:type="dxa"/>
                    <w:bottom w:w="0" w:type="dxa"/>
                    <w:right w:w="75" w:type="dxa"/>
                  </w:tcMar>
                </w:tcPr>
                <w:p w14:paraId="1982D2D2" w14:textId="2240C5EA" w:rsidR="00667845" w:rsidRDefault="00667845" w:rsidP="00760202">
                  <w:pPr>
                    <w:jc w:val="right"/>
                    <w:rPr>
                      <w:rFonts w:cs="Arial"/>
                      <w:color w:val="000000"/>
                      <w:szCs w:val="22"/>
                    </w:rPr>
                  </w:pPr>
                  <w:r>
                    <w:rPr>
                      <w:rFonts w:cs="Arial"/>
                      <w:color w:val="000000"/>
                      <w:szCs w:val="22"/>
                    </w:rPr>
                    <w:t>d.</w:t>
                  </w:r>
                </w:p>
              </w:tc>
              <w:tc>
                <w:tcPr>
                  <w:tcW w:w="0" w:type="auto"/>
                  <w:vAlign w:val="center"/>
                </w:tcPr>
                <w:p w14:paraId="4ADE78B0" w14:textId="0FCBAA08" w:rsidR="00667845" w:rsidRDefault="00667845" w:rsidP="00760202">
                  <w:pPr>
                    <w:rPr>
                      <w:rFonts w:cs="Arial"/>
                      <w:color w:val="000000"/>
                      <w:szCs w:val="22"/>
                    </w:rPr>
                  </w:pPr>
                  <w:r w:rsidRPr="00667845">
                    <w:rPr>
                      <w:rFonts w:cs="Arial"/>
                      <w:color w:val="000000"/>
                      <w:szCs w:val="22"/>
                    </w:rPr>
                    <w:t xml:space="preserve">*Yang C, </w:t>
                  </w:r>
                  <w:r w:rsidRPr="009F5E34">
                    <w:rPr>
                      <w:rFonts w:cs="Arial"/>
                      <w:b/>
                      <w:bCs/>
                      <w:color w:val="000000"/>
                      <w:szCs w:val="22"/>
                    </w:rPr>
                    <w:t>Li Y</w:t>
                  </w:r>
                  <w:r w:rsidRPr="00667845">
                    <w:rPr>
                      <w:rFonts w:cs="Arial"/>
                      <w:color w:val="000000"/>
                      <w:szCs w:val="22"/>
                    </w:rPr>
                    <w:t>. An extended Bayesian semi-mechanistic dose-finding design in oncology using pharmacokinetic and pharmacodynamic information. Stat Med</w:t>
                  </w:r>
                  <w:r w:rsidR="00BA130F">
                    <w:rPr>
                      <w:rFonts w:cs="Arial"/>
                      <w:color w:val="000000"/>
                      <w:szCs w:val="22"/>
                    </w:rPr>
                    <w:t xml:space="preserve"> </w:t>
                  </w:r>
                  <w:r w:rsidRPr="00667845">
                    <w:rPr>
                      <w:rFonts w:cs="Arial"/>
                      <w:color w:val="000000"/>
                      <w:szCs w:val="22"/>
                    </w:rPr>
                    <w:t>43(4):689-705, 2/2024. PMID: 38110304.</w:t>
                  </w:r>
                </w:p>
              </w:tc>
              <w:tc>
                <w:tcPr>
                  <w:tcW w:w="0" w:type="auto"/>
                  <w:vAlign w:val="center"/>
                </w:tcPr>
                <w:p w14:paraId="53C8CCD5" w14:textId="77777777" w:rsidR="00667845" w:rsidRDefault="00667845" w:rsidP="00760202">
                  <w:pPr>
                    <w:rPr>
                      <w:rFonts w:cs="Arial"/>
                      <w:color w:val="000000"/>
                      <w:szCs w:val="22"/>
                    </w:rPr>
                  </w:pPr>
                </w:p>
              </w:tc>
            </w:tr>
          </w:tbl>
          <w:p w14:paraId="14C9F1DC" w14:textId="77777777" w:rsidR="002009F6" w:rsidRDefault="002009F6" w:rsidP="00760202">
            <w:pPr>
              <w:rPr>
                <w:rFonts w:cs="Arial"/>
                <w:color w:val="000000"/>
                <w:szCs w:val="22"/>
              </w:rPr>
            </w:pPr>
          </w:p>
        </w:tc>
      </w:tr>
      <w:tr w:rsidR="002009F6" w14:paraId="44F412A5" w14:textId="77777777" w:rsidTr="00760202">
        <w:trPr>
          <w:tblCellSpacing w:w="15" w:type="dxa"/>
        </w:trPr>
        <w:tc>
          <w:tcPr>
            <w:tcW w:w="0" w:type="auto"/>
            <w:hideMark/>
          </w:tcPr>
          <w:p w14:paraId="7B486A72" w14:textId="77777777" w:rsidR="002009F6" w:rsidRDefault="002009F6" w:rsidP="00760202">
            <w:pPr>
              <w:rPr>
                <w:rFonts w:cs="Arial"/>
                <w:color w:val="000000"/>
                <w:szCs w:val="22"/>
              </w:rPr>
            </w:pPr>
            <w:r>
              <w:rPr>
                <w:rFonts w:cs="Arial"/>
                <w:color w:val="000000"/>
                <w:szCs w:val="22"/>
              </w:rPr>
              <w:t>4.  </w:t>
            </w:r>
          </w:p>
        </w:tc>
        <w:tc>
          <w:tcPr>
            <w:tcW w:w="4900" w:type="pct"/>
            <w:vAlign w:val="center"/>
            <w:hideMark/>
          </w:tcPr>
          <w:p w14:paraId="24289BF7" w14:textId="77777777" w:rsidR="002009F6" w:rsidRDefault="002009F6" w:rsidP="00760202">
            <w:pPr>
              <w:rPr>
                <w:rFonts w:cs="Arial"/>
                <w:color w:val="000000"/>
                <w:szCs w:val="22"/>
              </w:rPr>
            </w:pPr>
            <w:r w:rsidRPr="00225136">
              <w:rPr>
                <w:rFonts w:cs="Arial"/>
                <w:b/>
                <w:color w:val="000000"/>
                <w:szCs w:val="22"/>
                <w:u w:val="single"/>
              </w:rPr>
              <w:t>Missing data methods.</w:t>
            </w:r>
            <w:r>
              <w:rPr>
                <w:rFonts w:cs="Arial"/>
                <w:color w:val="000000"/>
                <w:szCs w:val="22"/>
              </w:rPr>
              <w:t> Along with colleagues, I have developed missing data methods, in particular, nonparametric multiple imputation methods for ignorable missing data. These methods are widely applicable in biomedical studies, where missing data commonly arise.</w:t>
            </w:r>
          </w:p>
        </w:tc>
      </w:tr>
      <w:tr w:rsidR="002009F6" w14:paraId="249FFECA" w14:textId="77777777" w:rsidTr="00760202">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576"/>
              <w:gridCol w:w="10102"/>
              <w:gridCol w:w="62"/>
            </w:tblGrid>
            <w:tr w:rsidR="002009F6" w14:paraId="3F785A39" w14:textId="77777777" w:rsidTr="00760202">
              <w:trPr>
                <w:tblCellSpacing w:w="0" w:type="dxa"/>
              </w:trPr>
              <w:tc>
                <w:tcPr>
                  <w:tcW w:w="576" w:type="dxa"/>
                  <w:noWrap/>
                  <w:tcMar>
                    <w:top w:w="0" w:type="dxa"/>
                    <w:left w:w="0" w:type="dxa"/>
                    <w:bottom w:w="0" w:type="dxa"/>
                    <w:right w:w="75" w:type="dxa"/>
                  </w:tcMar>
                  <w:hideMark/>
                </w:tcPr>
                <w:p w14:paraId="627C1B75" w14:textId="77777777" w:rsidR="002009F6" w:rsidRDefault="002009F6" w:rsidP="00760202">
                  <w:pPr>
                    <w:jc w:val="right"/>
                    <w:rPr>
                      <w:rFonts w:cs="Arial"/>
                      <w:color w:val="000000"/>
                      <w:szCs w:val="22"/>
                    </w:rPr>
                  </w:pPr>
                  <w:r>
                    <w:rPr>
                      <w:rFonts w:cs="Arial"/>
                      <w:color w:val="000000"/>
                      <w:szCs w:val="22"/>
                    </w:rPr>
                    <w:t>a.</w:t>
                  </w:r>
                </w:p>
              </w:tc>
              <w:tc>
                <w:tcPr>
                  <w:tcW w:w="0" w:type="auto"/>
                  <w:vAlign w:val="center"/>
                  <w:hideMark/>
                </w:tcPr>
                <w:p w14:paraId="4E363756" w14:textId="50A6F35E" w:rsidR="002009F6" w:rsidRDefault="002009F6" w:rsidP="00760202">
                  <w:pPr>
                    <w:rPr>
                      <w:rFonts w:cs="Arial"/>
                      <w:color w:val="000000"/>
                      <w:szCs w:val="22"/>
                    </w:rPr>
                  </w:pPr>
                  <w:r>
                    <w:rPr>
                      <w:rFonts w:cs="Arial"/>
                      <w:color w:val="000000"/>
                      <w:szCs w:val="22"/>
                    </w:rPr>
                    <w:t xml:space="preserve">Hsu C-H, </w:t>
                  </w:r>
                  <w:r>
                    <w:rPr>
                      <w:rFonts w:cs="Arial"/>
                      <w:b/>
                      <w:bCs/>
                      <w:color w:val="000000"/>
                      <w:szCs w:val="22"/>
                    </w:rPr>
                    <w:t>Li Y</w:t>
                  </w:r>
                  <w:r>
                    <w:rPr>
                      <w:rFonts w:cs="Arial"/>
                      <w:color w:val="000000"/>
                      <w:szCs w:val="22"/>
                    </w:rPr>
                    <w:t xml:space="preserve">, Long Q, Zhao Q, Lance P. Estimation of recurrence of colorectal adenomas with dependent censoring using weighted logistic regression. </w:t>
                  </w:r>
                  <w:proofErr w:type="spellStart"/>
                  <w:r>
                    <w:rPr>
                      <w:rFonts w:cs="Arial"/>
                      <w:color w:val="000000"/>
                      <w:szCs w:val="22"/>
                    </w:rPr>
                    <w:t>PLoS</w:t>
                  </w:r>
                  <w:proofErr w:type="spellEnd"/>
                  <w:r>
                    <w:rPr>
                      <w:rFonts w:cs="Arial"/>
                      <w:color w:val="000000"/>
                      <w:szCs w:val="22"/>
                    </w:rPr>
                    <w:t xml:space="preserve"> One 6(10</w:t>
                  </w:r>
                  <w:proofErr w:type="gramStart"/>
                  <w:r>
                    <w:rPr>
                      <w:rFonts w:cs="Arial"/>
                      <w:color w:val="000000"/>
                      <w:szCs w:val="22"/>
                    </w:rPr>
                    <w:t>):e</w:t>
                  </w:r>
                  <w:proofErr w:type="gramEnd"/>
                  <w:r>
                    <w:rPr>
                      <w:rFonts w:cs="Arial"/>
                      <w:color w:val="000000"/>
                      <w:szCs w:val="22"/>
                    </w:rPr>
                    <w:t xml:space="preserve">25141, 10/2011. PMCID: </w:t>
                  </w:r>
                  <w:r w:rsidRPr="002009F6">
                    <w:rPr>
                      <w:rFonts w:cs="Arial"/>
                      <w:color w:val="000000"/>
                      <w:szCs w:val="22"/>
                    </w:rPr>
                    <w:t>PMC3204965</w:t>
                  </w:r>
                  <w:r>
                    <w:rPr>
                      <w:rFonts w:cs="Arial"/>
                      <w:color w:val="000000"/>
                      <w:szCs w:val="22"/>
                    </w:rPr>
                    <w:t xml:space="preserve">. </w:t>
                  </w:r>
                </w:p>
              </w:tc>
              <w:tc>
                <w:tcPr>
                  <w:tcW w:w="0" w:type="auto"/>
                  <w:vAlign w:val="center"/>
                  <w:hideMark/>
                </w:tcPr>
                <w:p w14:paraId="10F5C44C" w14:textId="77777777" w:rsidR="002009F6" w:rsidRDefault="002009F6" w:rsidP="00760202">
                  <w:pPr>
                    <w:rPr>
                      <w:rFonts w:cs="Arial"/>
                      <w:color w:val="000000"/>
                      <w:szCs w:val="22"/>
                    </w:rPr>
                  </w:pPr>
                  <w:r>
                    <w:rPr>
                      <w:rFonts w:cs="Arial"/>
                      <w:color w:val="000000"/>
                      <w:szCs w:val="22"/>
                    </w:rPr>
                    <w:t> </w:t>
                  </w:r>
                </w:p>
              </w:tc>
            </w:tr>
            <w:tr w:rsidR="002009F6" w14:paraId="10696659" w14:textId="77777777" w:rsidTr="00760202">
              <w:trPr>
                <w:tblCellSpacing w:w="0" w:type="dxa"/>
              </w:trPr>
              <w:tc>
                <w:tcPr>
                  <w:tcW w:w="576" w:type="dxa"/>
                  <w:noWrap/>
                  <w:tcMar>
                    <w:top w:w="0" w:type="dxa"/>
                    <w:left w:w="0" w:type="dxa"/>
                    <w:bottom w:w="0" w:type="dxa"/>
                    <w:right w:w="75" w:type="dxa"/>
                  </w:tcMar>
                  <w:hideMark/>
                </w:tcPr>
                <w:p w14:paraId="072A028B" w14:textId="77777777" w:rsidR="002009F6" w:rsidRDefault="002009F6" w:rsidP="00760202">
                  <w:pPr>
                    <w:jc w:val="right"/>
                    <w:rPr>
                      <w:rFonts w:cs="Arial"/>
                      <w:color w:val="000000"/>
                      <w:szCs w:val="22"/>
                    </w:rPr>
                  </w:pPr>
                  <w:r>
                    <w:rPr>
                      <w:rFonts w:cs="Arial"/>
                      <w:color w:val="000000"/>
                      <w:szCs w:val="22"/>
                    </w:rPr>
                    <w:t>b.</w:t>
                  </w:r>
                </w:p>
              </w:tc>
              <w:tc>
                <w:tcPr>
                  <w:tcW w:w="0" w:type="auto"/>
                  <w:vAlign w:val="center"/>
                  <w:hideMark/>
                </w:tcPr>
                <w:p w14:paraId="71B04D0F" w14:textId="73B99582" w:rsidR="002009F6" w:rsidRDefault="002009F6" w:rsidP="00760202">
                  <w:pPr>
                    <w:rPr>
                      <w:rFonts w:cs="Arial"/>
                      <w:color w:val="000000"/>
                      <w:szCs w:val="22"/>
                    </w:rPr>
                  </w:pPr>
                  <w:r>
                    <w:rPr>
                      <w:rFonts w:cs="Arial"/>
                      <w:color w:val="000000"/>
                      <w:szCs w:val="22"/>
                    </w:rPr>
                    <w:t xml:space="preserve">Long Q, Hsu CH, </w:t>
                  </w:r>
                  <w:r>
                    <w:rPr>
                      <w:rFonts w:cs="Arial"/>
                      <w:b/>
                      <w:bCs/>
                      <w:color w:val="000000"/>
                      <w:szCs w:val="22"/>
                    </w:rPr>
                    <w:t>Li Y</w:t>
                  </w:r>
                  <w:r>
                    <w:rPr>
                      <w:rFonts w:cs="Arial"/>
                      <w:color w:val="000000"/>
                      <w:szCs w:val="22"/>
                    </w:rPr>
                    <w:t xml:space="preserve">. Doubly robust nonparametric multiple imputation for ignorable missing data. </w:t>
                  </w:r>
                  <w:proofErr w:type="spellStart"/>
                  <w:r>
                    <w:rPr>
                      <w:rFonts w:cs="Arial"/>
                      <w:color w:val="000000"/>
                      <w:szCs w:val="22"/>
                    </w:rPr>
                    <w:t>Statistica</w:t>
                  </w:r>
                  <w:proofErr w:type="spellEnd"/>
                  <w:r>
                    <w:rPr>
                      <w:rFonts w:cs="Arial"/>
                      <w:color w:val="000000"/>
                      <w:szCs w:val="22"/>
                    </w:rPr>
                    <w:t xml:space="preserve"> </w:t>
                  </w:r>
                  <w:proofErr w:type="spellStart"/>
                  <w:r>
                    <w:rPr>
                      <w:rFonts w:cs="Arial"/>
                      <w:color w:val="000000"/>
                      <w:szCs w:val="22"/>
                    </w:rPr>
                    <w:t>Sinica</w:t>
                  </w:r>
                  <w:proofErr w:type="spellEnd"/>
                  <w:r>
                    <w:rPr>
                      <w:rFonts w:cs="Arial"/>
                      <w:color w:val="000000"/>
                      <w:szCs w:val="22"/>
                    </w:rPr>
                    <w:t xml:space="preserve"> 22(1):149-172, 2012. PMCID: </w:t>
                  </w:r>
                  <w:r w:rsidRPr="002009F6">
                    <w:rPr>
                      <w:rFonts w:cs="Arial"/>
                      <w:color w:val="000000"/>
                      <w:szCs w:val="22"/>
                    </w:rPr>
                    <w:t>PMC3280694</w:t>
                  </w:r>
                  <w:r>
                    <w:rPr>
                      <w:rFonts w:cs="Arial"/>
                      <w:color w:val="000000"/>
                      <w:szCs w:val="22"/>
                    </w:rPr>
                    <w:t xml:space="preserve">. </w:t>
                  </w:r>
                </w:p>
              </w:tc>
              <w:tc>
                <w:tcPr>
                  <w:tcW w:w="0" w:type="auto"/>
                  <w:vAlign w:val="center"/>
                  <w:hideMark/>
                </w:tcPr>
                <w:p w14:paraId="13892BFE" w14:textId="77777777" w:rsidR="002009F6" w:rsidRDefault="002009F6" w:rsidP="00760202">
                  <w:pPr>
                    <w:rPr>
                      <w:rFonts w:cs="Arial"/>
                      <w:color w:val="000000"/>
                      <w:szCs w:val="22"/>
                    </w:rPr>
                  </w:pPr>
                  <w:r>
                    <w:rPr>
                      <w:rFonts w:cs="Arial"/>
                      <w:color w:val="000000"/>
                      <w:szCs w:val="22"/>
                    </w:rPr>
                    <w:t> </w:t>
                  </w:r>
                </w:p>
              </w:tc>
            </w:tr>
            <w:tr w:rsidR="002009F6" w14:paraId="63418F28" w14:textId="77777777" w:rsidTr="00760202">
              <w:trPr>
                <w:tblCellSpacing w:w="0" w:type="dxa"/>
              </w:trPr>
              <w:tc>
                <w:tcPr>
                  <w:tcW w:w="576" w:type="dxa"/>
                  <w:noWrap/>
                  <w:tcMar>
                    <w:top w:w="0" w:type="dxa"/>
                    <w:left w:w="0" w:type="dxa"/>
                    <w:bottom w:w="0" w:type="dxa"/>
                    <w:right w:w="75" w:type="dxa"/>
                  </w:tcMar>
                  <w:hideMark/>
                </w:tcPr>
                <w:p w14:paraId="36882B37" w14:textId="77777777" w:rsidR="002009F6" w:rsidRDefault="002009F6" w:rsidP="00760202">
                  <w:pPr>
                    <w:jc w:val="right"/>
                    <w:rPr>
                      <w:rFonts w:cs="Arial"/>
                      <w:color w:val="000000"/>
                      <w:szCs w:val="22"/>
                    </w:rPr>
                  </w:pPr>
                  <w:r>
                    <w:rPr>
                      <w:rFonts w:cs="Arial"/>
                      <w:color w:val="000000"/>
                      <w:szCs w:val="22"/>
                    </w:rPr>
                    <w:t>c.</w:t>
                  </w:r>
                </w:p>
              </w:tc>
              <w:tc>
                <w:tcPr>
                  <w:tcW w:w="0" w:type="auto"/>
                  <w:vAlign w:val="center"/>
                  <w:hideMark/>
                </w:tcPr>
                <w:p w14:paraId="20EEB061" w14:textId="29A908B9" w:rsidR="002009F6" w:rsidRDefault="002009F6" w:rsidP="00760202">
                  <w:pPr>
                    <w:rPr>
                      <w:rFonts w:cs="Arial"/>
                      <w:color w:val="000000"/>
                      <w:szCs w:val="22"/>
                    </w:rPr>
                  </w:pPr>
                  <w:r>
                    <w:rPr>
                      <w:rFonts w:cs="Arial"/>
                      <w:color w:val="000000"/>
                      <w:szCs w:val="22"/>
                    </w:rPr>
                    <w:t xml:space="preserve">Hsu C-H, Long Q, </w:t>
                  </w:r>
                  <w:r>
                    <w:rPr>
                      <w:rFonts w:cs="Arial"/>
                      <w:b/>
                      <w:bCs/>
                      <w:color w:val="000000"/>
                      <w:szCs w:val="22"/>
                    </w:rPr>
                    <w:t>Li Y</w:t>
                  </w:r>
                  <w:r>
                    <w:rPr>
                      <w:rFonts w:cs="Arial"/>
                      <w:color w:val="000000"/>
                      <w:szCs w:val="22"/>
                    </w:rPr>
                    <w:t xml:space="preserve">, Jacobs B. A nonparametric multiple imputation approach for data with missing covariate values with application to colorectal adenoma data. Journal of Biopharmaceutical Statistics 24(3):634-648, 4/2014. PMCID: </w:t>
                  </w:r>
                  <w:r w:rsidRPr="002009F6">
                    <w:rPr>
                      <w:rFonts w:cs="Arial"/>
                      <w:color w:val="000000"/>
                      <w:szCs w:val="22"/>
                    </w:rPr>
                    <w:t>PMC4353564</w:t>
                  </w:r>
                  <w:r>
                    <w:rPr>
                      <w:rFonts w:cs="Arial"/>
                      <w:color w:val="000000"/>
                      <w:szCs w:val="22"/>
                    </w:rPr>
                    <w:t xml:space="preserve">. </w:t>
                  </w:r>
                </w:p>
              </w:tc>
              <w:tc>
                <w:tcPr>
                  <w:tcW w:w="0" w:type="auto"/>
                  <w:vAlign w:val="center"/>
                  <w:hideMark/>
                </w:tcPr>
                <w:p w14:paraId="7FF13314" w14:textId="77777777" w:rsidR="002009F6" w:rsidRDefault="002009F6" w:rsidP="00760202">
                  <w:pPr>
                    <w:rPr>
                      <w:rFonts w:cs="Arial"/>
                      <w:color w:val="000000"/>
                      <w:szCs w:val="22"/>
                    </w:rPr>
                  </w:pPr>
                  <w:r>
                    <w:rPr>
                      <w:rFonts w:cs="Arial"/>
                      <w:color w:val="000000"/>
                      <w:szCs w:val="22"/>
                    </w:rPr>
                    <w:t> </w:t>
                  </w:r>
                </w:p>
              </w:tc>
            </w:tr>
            <w:tr w:rsidR="002009F6" w14:paraId="551B45AC" w14:textId="77777777" w:rsidTr="00760202">
              <w:trPr>
                <w:tblCellSpacing w:w="0" w:type="dxa"/>
              </w:trPr>
              <w:tc>
                <w:tcPr>
                  <w:tcW w:w="576" w:type="dxa"/>
                  <w:noWrap/>
                  <w:tcMar>
                    <w:top w:w="0" w:type="dxa"/>
                    <w:left w:w="0" w:type="dxa"/>
                    <w:bottom w:w="0" w:type="dxa"/>
                    <w:right w:w="75" w:type="dxa"/>
                  </w:tcMar>
                  <w:hideMark/>
                </w:tcPr>
                <w:p w14:paraId="651DEC56" w14:textId="77777777" w:rsidR="002009F6" w:rsidRDefault="002009F6" w:rsidP="00760202">
                  <w:pPr>
                    <w:jc w:val="right"/>
                    <w:rPr>
                      <w:rFonts w:cs="Arial"/>
                      <w:color w:val="000000"/>
                      <w:szCs w:val="22"/>
                    </w:rPr>
                  </w:pPr>
                  <w:r>
                    <w:rPr>
                      <w:rFonts w:cs="Arial"/>
                      <w:color w:val="000000"/>
                      <w:szCs w:val="22"/>
                    </w:rPr>
                    <w:t>d.</w:t>
                  </w:r>
                </w:p>
              </w:tc>
              <w:tc>
                <w:tcPr>
                  <w:tcW w:w="0" w:type="auto"/>
                  <w:vAlign w:val="center"/>
                  <w:hideMark/>
                </w:tcPr>
                <w:p w14:paraId="48009448" w14:textId="70DF64B9" w:rsidR="002009F6" w:rsidRDefault="002009F6" w:rsidP="00760202">
                  <w:pPr>
                    <w:rPr>
                      <w:rFonts w:cs="Arial"/>
                      <w:color w:val="000000"/>
                      <w:szCs w:val="22"/>
                    </w:rPr>
                  </w:pPr>
                  <w:r>
                    <w:rPr>
                      <w:rFonts w:cs="Arial"/>
                      <w:color w:val="000000"/>
                      <w:szCs w:val="22"/>
                    </w:rPr>
                    <w:t xml:space="preserve">Hsu CH, He Y, </w:t>
                  </w:r>
                  <w:r>
                    <w:rPr>
                      <w:rFonts w:cs="Arial"/>
                      <w:b/>
                      <w:bCs/>
                      <w:color w:val="000000"/>
                      <w:szCs w:val="22"/>
                    </w:rPr>
                    <w:t>Li Y</w:t>
                  </w:r>
                  <w:r>
                    <w:rPr>
                      <w:rFonts w:cs="Arial"/>
                      <w:color w:val="000000"/>
                      <w:szCs w:val="22"/>
                    </w:rPr>
                    <w:t xml:space="preserve">, Long Q, Friese R. Doubly robust multiple imputation using kernel-based techniques. </w:t>
                  </w:r>
                  <w:proofErr w:type="spellStart"/>
                  <w:r>
                    <w:rPr>
                      <w:rFonts w:cs="Arial"/>
                      <w:color w:val="000000"/>
                      <w:szCs w:val="22"/>
                    </w:rPr>
                    <w:t>Biom</w:t>
                  </w:r>
                  <w:proofErr w:type="spellEnd"/>
                  <w:r>
                    <w:rPr>
                      <w:rFonts w:cs="Arial"/>
                      <w:color w:val="000000"/>
                      <w:szCs w:val="22"/>
                    </w:rPr>
                    <w:t xml:space="preserve"> J 58(3):588-606, 5/2016. PMCID: </w:t>
                  </w:r>
                  <w:r w:rsidRPr="002009F6">
                    <w:rPr>
                      <w:rFonts w:cs="Arial"/>
                      <w:color w:val="000000"/>
                      <w:szCs w:val="22"/>
                    </w:rPr>
                    <w:t>PMC5167998</w:t>
                  </w:r>
                  <w:r>
                    <w:rPr>
                      <w:rFonts w:cs="Arial"/>
                      <w:color w:val="000000"/>
                      <w:szCs w:val="22"/>
                    </w:rPr>
                    <w:t xml:space="preserve">. </w:t>
                  </w:r>
                </w:p>
              </w:tc>
              <w:tc>
                <w:tcPr>
                  <w:tcW w:w="0" w:type="auto"/>
                  <w:vAlign w:val="center"/>
                  <w:hideMark/>
                </w:tcPr>
                <w:p w14:paraId="59455D5B" w14:textId="77777777" w:rsidR="002009F6" w:rsidRDefault="002009F6" w:rsidP="00760202">
                  <w:pPr>
                    <w:rPr>
                      <w:rFonts w:cs="Arial"/>
                      <w:color w:val="000000"/>
                      <w:szCs w:val="22"/>
                    </w:rPr>
                  </w:pPr>
                  <w:r>
                    <w:rPr>
                      <w:rFonts w:cs="Arial"/>
                      <w:color w:val="000000"/>
                      <w:szCs w:val="22"/>
                    </w:rPr>
                    <w:t> </w:t>
                  </w:r>
                </w:p>
              </w:tc>
            </w:tr>
          </w:tbl>
          <w:p w14:paraId="124CBA9E" w14:textId="77777777" w:rsidR="002009F6" w:rsidRDefault="002009F6" w:rsidP="00760202">
            <w:pPr>
              <w:rPr>
                <w:rFonts w:cs="Arial"/>
                <w:color w:val="000000"/>
                <w:szCs w:val="22"/>
              </w:rPr>
            </w:pPr>
          </w:p>
        </w:tc>
      </w:tr>
      <w:tr w:rsidR="002009F6" w14:paraId="3E11CA37" w14:textId="77777777" w:rsidTr="00760202">
        <w:trPr>
          <w:tblCellSpacing w:w="15" w:type="dxa"/>
        </w:trPr>
        <w:tc>
          <w:tcPr>
            <w:tcW w:w="0" w:type="auto"/>
            <w:hideMark/>
          </w:tcPr>
          <w:p w14:paraId="28FE587C" w14:textId="77777777" w:rsidR="002009F6" w:rsidRDefault="002009F6" w:rsidP="00760202">
            <w:pPr>
              <w:rPr>
                <w:rFonts w:cs="Arial"/>
                <w:color w:val="000000"/>
                <w:szCs w:val="22"/>
              </w:rPr>
            </w:pPr>
            <w:r>
              <w:rPr>
                <w:rFonts w:cs="Arial"/>
                <w:color w:val="000000"/>
                <w:szCs w:val="22"/>
              </w:rPr>
              <w:t>5.  </w:t>
            </w:r>
          </w:p>
        </w:tc>
        <w:tc>
          <w:tcPr>
            <w:tcW w:w="4900" w:type="pct"/>
            <w:vAlign w:val="center"/>
            <w:hideMark/>
          </w:tcPr>
          <w:p w14:paraId="4095635D" w14:textId="77777777" w:rsidR="002009F6" w:rsidRDefault="002009F6" w:rsidP="00760202">
            <w:pPr>
              <w:rPr>
                <w:rFonts w:cs="Arial"/>
                <w:color w:val="000000"/>
                <w:szCs w:val="22"/>
              </w:rPr>
            </w:pPr>
            <w:r w:rsidRPr="004A4735">
              <w:rPr>
                <w:rFonts w:cs="Arial"/>
                <w:b/>
                <w:color w:val="000000"/>
                <w:szCs w:val="22"/>
                <w:u w:val="single"/>
              </w:rPr>
              <w:t>Causal mediation analysis.</w:t>
            </w:r>
            <w:r>
              <w:rPr>
                <w:rFonts w:cs="Arial"/>
                <w:color w:val="000000"/>
                <w:szCs w:val="22"/>
              </w:rPr>
              <w:t> Statistical mediation analysis is an important and common approach to studying the mechanisms of interventions in social science and medicine. I have worked with colleagues to develop Bayesian causal mediation models.</w:t>
            </w:r>
          </w:p>
        </w:tc>
      </w:tr>
      <w:tr w:rsidR="002009F6" w14:paraId="046FAD67" w14:textId="77777777" w:rsidTr="00760202">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576"/>
              <w:gridCol w:w="10102"/>
              <w:gridCol w:w="31"/>
              <w:gridCol w:w="31"/>
            </w:tblGrid>
            <w:tr w:rsidR="002009F6" w14:paraId="25BEA08E" w14:textId="77777777" w:rsidTr="00760202">
              <w:trPr>
                <w:tblCellSpacing w:w="0" w:type="dxa"/>
              </w:trPr>
              <w:tc>
                <w:tcPr>
                  <w:tcW w:w="576" w:type="dxa"/>
                  <w:noWrap/>
                  <w:tcMar>
                    <w:top w:w="0" w:type="dxa"/>
                    <w:left w:w="0" w:type="dxa"/>
                    <w:bottom w:w="0" w:type="dxa"/>
                    <w:right w:w="75" w:type="dxa"/>
                  </w:tcMar>
                  <w:hideMark/>
                </w:tcPr>
                <w:p w14:paraId="4B877B3E" w14:textId="77777777" w:rsidR="002009F6" w:rsidRDefault="002009F6" w:rsidP="00760202">
                  <w:pPr>
                    <w:jc w:val="right"/>
                    <w:rPr>
                      <w:rFonts w:cs="Arial"/>
                      <w:color w:val="000000"/>
                      <w:szCs w:val="22"/>
                    </w:rPr>
                  </w:pPr>
                  <w:r>
                    <w:rPr>
                      <w:rFonts w:cs="Arial"/>
                      <w:color w:val="000000"/>
                      <w:szCs w:val="22"/>
                    </w:rPr>
                    <w:t>a.</w:t>
                  </w:r>
                </w:p>
              </w:tc>
              <w:tc>
                <w:tcPr>
                  <w:tcW w:w="0" w:type="auto"/>
                  <w:vAlign w:val="center"/>
                  <w:hideMark/>
                </w:tcPr>
                <w:p w14:paraId="278FDC81" w14:textId="6CDE7A25" w:rsidR="002009F6" w:rsidRDefault="002009F6" w:rsidP="00760202">
                  <w:pPr>
                    <w:rPr>
                      <w:rFonts w:cs="Arial"/>
                      <w:color w:val="000000"/>
                      <w:szCs w:val="22"/>
                    </w:rPr>
                  </w:pPr>
                  <w:r>
                    <w:rPr>
                      <w:rFonts w:cs="Arial"/>
                      <w:color w:val="000000"/>
                      <w:szCs w:val="22"/>
                    </w:rPr>
                    <w:t xml:space="preserve">Kim C, Daniels M, </w:t>
                  </w:r>
                  <w:r>
                    <w:rPr>
                      <w:rFonts w:cs="Arial"/>
                      <w:b/>
                      <w:bCs/>
                      <w:color w:val="000000"/>
                      <w:szCs w:val="22"/>
                    </w:rPr>
                    <w:t>Li Y</w:t>
                  </w:r>
                  <w:r>
                    <w:rPr>
                      <w:rFonts w:cs="Arial"/>
                      <w:color w:val="000000"/>
                      <w:szCs w:val="22"/>
                    </w:rPr>
                    <w:t xml:space="preserve">, </w:t>
                  </w:r>
                  <w:proofErr w:type="spellStart"/>
                  <w:r w:rsidRPr="00DD107A">
                    <w:rPr>
                      <w:rFonts w:cs="Arial"/>
                      <w:b/>
                      <w:bCs/>
                      <w:color w:val="000000"/>
                      <w:szCs w:val="22"/>
                    </w:rPr>
                    <w:t>Milbury</w:t>
                  </w:r>
                  <w:proofErr w:type="spellEnd"/>
                  <w:r w:rsidRPr="00DD107A">
                    <w:rPr>
                      <w:rFonts w:cs="Arial"/>
                      <w:b/>
                      <w:bCs/>
                      <w:color w:val="000000"/>
                      <w:szCs w:val="22"/>
                    </w:rPr>
                    <w:t xml:space="preserve"> K</w:t>
                  </w:r>
                  <w:r>
                    <w:rPr>
                      <w:rFonts w:cs="Arial"/>
                      <w:color w:val="000000"/>
                      <w:szCs w:val="22"/>
                    </w:rPr>
                    <w:t xml:space="preserve">, Cohen L. </w:t>
                  </w:r>
                  <w:proofErr w:type="gramStart"/>
                  <w:r>
                    <w:rPr>
                      <w:rFonts w:cs="Arial"/>
                      <w:color w:val="000000"/>
                      <w:szCs w:val="22"/>
                    </w:rPr>
                    <w:t>A</w:t>
                  </w:r>
                  <w:proofErr w:type="gramEnd"/>
                  <w:r>
                    <w:rPr>
                      <w:rFonts w:cs="Arial"/>
                      <w:color w:val="000000"/>
                      <w:szCs w:val="22"/>
                    </w:rPr>
                    <w:t xml:space="preserve"> Bayesian semiparametric latent variable approach to causal mediation. Stat Med 37(7):1149-1161, 3/2018. PMCID: </w:t>
                  </w:r>
                  <w:r w:rsidRPr="002009F6">
                    <w:rPr>
                      <w:rFonts w:cs="Arial"/>
                      <w:color w:val="000000"/>
                      <w:szCs w:val="22"/>
                    </w:rPr>
                    <w:t>PMC5837944</w:t>
                  </w:r>
                  <w:r>
                    <w:rPr>
                      <w:rFonts w:cs="Arial"/>
                      <w:color w:val="000000"/>
                      <w:szCs w:val="22"/>
                    </w:rPr>
                    <w:t xml:space="preserve">. </w:t>
                  </w:r>
                </w:p>
              </w:tc>
              <w:tc>
                <w:tcPr>
                  <w:tcW w:w="0" w:type="auto"/>
                  <w:gridSpan w:val="2"/>
                  <w:vAlign w:val="center"/>
                  <w:hideMark/>
                </w:tcPr>
                <w:p w14:paraId="550B18AE" w14:textId="77777777" w:rsidR="002009F6" w:rsidRDefault="002009F6" w:rsidP="00760202">
                  <w:pPr>
                    <w:rPr>
                      <w:rFonts w:cs="Arial"/>
                      <w:color w:val="000000"/>
                      <w:szCs w:val="22"/>
                    </w:rPr>
                  </w:pPr>
                  <w:r>
                    <w:rPr>
                      <w:rFonts w:cs="Arial"/>
                      <w:color w:val="000000"/>
                      <w:szCs w:val="22"/>
                    </w:rPr>
                    <w:t> </w:t>
                  </w:r>
                </w:p>
              </w:tc>
            </w:tr>
            <w:tr w:rsidR="002009F6" w14:paraId="77CECF2B" w14:textId="77777777" w:rsidTr="00760202">
              <w:trPr>
                <w:tblCellSpacing w:w="0" w:type="dxa"/>
              </w:trPr>
              <w:tc>
                <w:tcPr>
                  <w:tcW w:w="0" w:type="auto"/>
                  <w:gridSpan w:val="2"/>
                  <w:vAlign w:val="center"/>
                  <w:hideMark/>
                </w:tcPr>
                <w:p w14:paraId="76712689" w14:textId="77777777" w:rsidR="002009F6" w:rsidRPr="002009F6" w:rsidRDefault="002009F6" w:rsidP="00760202">
                  <w:pPr>
                    <w:rPr>
                      <w:rFonts w:cs="Arial"/>
                      <w:b/>
                      <w:color w:val="000000"/>
                      <w:szCs w:val="22"/>
                    </w:rPr>
                  </w:pPr>
                </w:p>
                <w:p w14:paraId="1D223D28" w14:textId="50D0B47A" w:rsidR="002009F6" w:rsidRDefault="002009F6" w:rsidP="00760202">
                  <w:pPr>
                    <w:rPr>
                      <w:rFonts w:cs="Arial"/>
                      <w:color w:val="000000"/>
                      <w:szCs w:val="22"/>
                    </w:rPr>
                  </w:pPr>
                  <w:r w:rsidRPr="002009F6">
                    <w:rPr>
                      <w:rFonts w:cs="Arial"/>
                      <w:b/>
                      <w:color w:val="000000"/>
                      <w:szCs w:val="22"/>
                    </w:rPr>
                    <w:t>Complete List of Published Work in My Bibliography:</w:t>
                  </w:r>
                  <w:r>
                    <w:rPr>
                      <w:rFonts w:cs="Arial"/>
                      <w:color w:val="000000"/>
                      <w:szCs w:val="22"/>
                    </w:rPr>
                    <w:br/>
                  </w:r>
                  <w:r w:rsidRPr="002009F6">
                    <w:rPr>
                      <w:rFonts w:cs="Arial"/>
                      <w:color w:val="000000"/>
                      <w:szCs w:val="22"/>
                    </w:rPr>
                    <w:t xml:space="preserve">http://www.ncbi.nlm.nih.gov/sites/myncbi/yisheng.li.1/bibliography/45331928/public/?sort=d </w:t>
                  </w:r>
                  <w:proofErr w:type="spellStart"/>
                  <w:r w:rsidRPr="002009F6">
                    <w:rPr>
                      <w:rFonts w:cs="Arial"/>
                      <w:color w:val="000000"/>
                      <w:szCs w:val="22"/>
                    </w:rPr>
                    <w:t>ate&amp;direction</w:t>
                  </w:r>
                  <w:proofErr w:type="spellEnd"/>
                  <w:r w:rsidRPr="002009F6">
                    <w:rPr>
                      <w:rFonts w:cs="Arial"/>
                      <w:color w:val="000000"/>
                      <w:szCs w:val="22"/>
                    </w:rPr>
                    <w:t>=ascending.</w:t>
                  </w:r>
                  <w:r>
                    <w:rPr>
                      <w:rFonts w:cs="Arial"/>
                      <w:color w:val="000000"/>
                      <w:szCs w:val="22"/>
                    </w:rPr>
                    <w:t xml:space="preserve"> </w:t>
                  </w:r>
                </w:p>
              </w:tc>
              <w:tc>
                <w:tcPr>
                  <w:tcW w:w="0" w:type="auto"/>
                  <w:vAlign w:val="center"/>
                  <w:hideMark/>
                </w:tcPr>
                <w:p w14:paraId="4590EBA4" w14:textId="77777777" w:rsidR="002009F6" w:rsidRDefault="002009F6" w:rsidP="00760202">
                  <w:pPr>
                    <w:rPr>
                      <w:sz w:val="20"/>
                      <w:szCs w:val="20"/>
                    </w:rPr>
                  </w:pPr>
                </w:p>
              </w:tc>
              <w:tc>
                <w:tcPr>
                  <w:tcW w:w="0" w:type="auto"/>
                  <w:vAlign w:val="center"/>
                  <w:hideMark/>
                </w:tcPr>
                <w:p w14:paraId="63ACD0B0" w14:textId="77777777" w:rsidR="002009F6" w:rsidRDefault="002009F6" w:rsidP="00760202">
                  <w:pPr>
                    <w:rPr>
                      <w:sz w:val="20"/>
                      <w:szCs w:val="20"/>
                    </w:rPr>
                  </w:pPr>
                </w:p>
              </w:tc>
            </w:tr>
          </w:tbl>
          <w:p w14:paraId="53EE9FA7" w14:textId="77777777" w:rsidR="002009F6" w:rsidRDefault="002009F6" w:rsidP="00760202">
            <w:pPr>
              <w:rPr>
                <w:rFonts w:cs="Arial"/>
                <w:color w:val="000000"/>
                <w:szCs w:val="22"/>
              </w:rPr>
            </w:pPr>
          </w:p>
        </w:tc>
      </w:tr>
    </w:tbl>
    <w:p w14:paraId="5BADD417" w14:textId="7FE09787" w:rsidR="002C51BC" w:rsidRPr="00A128A0" w:rsidRDefault="002C51BC" w:rsidP="002C51BC">
      <w:pPr>
        <w:pStyle w:val="DataField11pt-Single"/>
        <w:rPr>
          <w:rStyle w:val="Strong"/>
        </w:rPr>
      </w:pPr>
    </w:p>
    <w:p w14:paraId="5CE1EAD0" w14:textId="77777777" w:rsidR="002C51BC" w:rsidRPr="00A128A0" w:rsidRDefault="002C51BC" w:rsidP="002C51BC">
      <w:pPr>
        <w:pStyle w:val="DataField11pt-Single"/>
        <w:rPr>
          <w:rStyle w:val="Strong"/>
        </w:rPr>
      </w:pPr>
    </w:p>
    <w:p w14:paraId="5BB8C337" w14:textId="10B44E9F" w:rsidR="00FC5F9E" w:rsidRPr="00E03323" w:rsidRDefault="00FC5F9E" w:rsidP="005C2CF8">
      <w:pPr>
        <w:pStyle w:val="DataField11pt-Single"/>
        <w:rPr>
          <w:rStyle w:val="Strong"/>
          <w:b w:val="0"/>
        </w:rPr>
      </w:pPr>
    </w:p>
    <w:sectPr w:rsidR="00FC5F9E" w:rsidRPr="00E03323"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86A9" w14:textId="77777777" w:rsidR="008C1FAB" w:rsidRDefault="008C1FAB">
      <w:r>
        <w:separator/>
      </w:r>
    </w:p>
  </w:endnote>
  <w:endnote w:type="continuationSeparator" w:id="0">
    <w:p w14:paraId="357C7864" w14:textId="77777777" w:rsidR="008C1FAB" w:rsidRDefault="008C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CB1C" w14:textId="77777777" w:rsidR="008C1FAB" w:rsidRDefault="008C1FAB">
      <w:r>
        <w:separator/>
      </w:r>
    </w:p>
  </w:footnote>
  <w:footnote w:type="continuationSeparator" w:id="0">
    <w:p w14:paraId="6EEE196E" w14:textId="77777777" w:rsidR="008C1FAB" w:rsidRDefault="008C1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0A034F0"/>
    <w:multiLevelType w:val="hybridMultilevel"/>
    <w:tmpl w:val="4DC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628781439">
    <w:abstractNumId w:val="9"/>
  </w:num>
  <w:num w:numId="2" w16cid:durableId="132792821">
    <w:abstractNumId w:val="7"/>
  </w:num>
  <w:num w:numId="3" w16cid:durableId="1599674872">
    <w:abstractNumId w:val="6"/>
  </w:num>
  <w:num w:numId="4" w16cid:durableId="2145852255">
    <w:abstractNumId w:val="5"/>
  </w:num>
  <w:num w:numId="5" w16cid:durableId="204684752">
    <w:abstractNumId w:val="4"/>
  </w:num>
  <w:num w:numId="6" w16cid:durableId="1880697920">
    <w:abstractNumId w:val="8"/>
  </w:num>
  <w:num w:numId="7" w16cid:durableId="1722707080">
    <w:abstractNumId w:val="3"/>
  </w:num>
  <w:num w:numId="8" w16cid:durableId="152769154">
    <w:abstractNumId w:val="2"/>
  </w:num>
  <w:num w:numId="9" w16cid:durableId="1400177264">
    <w:abstractNumId w:val="1"/>
  </w:num>
  <w:num w:numId="10" w16cid:durableId="1847864726">
    <w:abstractNumId w:val="0"/>
  </w:num>
  <w:num w:numId="11" w16cid:durableId="1742218919">
    <w:abstractNumId w:val="0"/>
  </w:num>
  <w:num w:numId="12" w16cid:durableId="976836527">
    <w:abstractNumId w:val="14"/>
  </w:num>
  <w:num w:numId="13" w16cid:durableId="811823509">
    <w:abstractNumId w:val="11"/>
  </w:num>
  <w:num w:numId="14" w16cid:durableId="532546001">
    <w:abstractNumId w:val="17"/>
  </w:num>
  <w:num w:numId="15" w16cid:durableId="298265832">
    <w:abstractNumId w:val="15"/>
  </w:num>
  <w:num w:numId="16" w16cid:durableId="1530952521">
    <w:abstractNumId w:val="16"/>
  </w:num>
  <w:num w:numId="17" w16cid:durableId="1421179111">
    <w:abstractNumId w:val="10"/>
  </w:num>
  <w:num w:numId="18" w16cid:durableId="70078468">
    <w:abstractNumId w:val="13"/>
  </w:num>
  <w:num w:numId="19" w16cid:durableId="312374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70E5"/>
    <w:rsid w:val="00055054"/>
    <w:rsid w:val="00067621"/>
    <w:rsid w:val="00080BFC"/>
    <w:rsid w:val="00081A7E"/>
    <w:rsid w:val="00084466"/>
    <w:rsid w:val="000855D5"/>
    <w:rsid w:val="000E2E80"/>
    <w:rsid w:val="000E3BEC"/>
    <w:rsid w:val="00106DA1"/>
    <w:rsid w:val="001156A2"/>
    <w:rsid w:val="00122EB3"/>
    <w:rsid w:val="00132CA6"/>
    <w:rsid w:val="00137E3D"/>
    <w:rsid w:val="00143C2D"/>
    <w:rsid w:val="0014571A"/>
    <w:rsid w:val="00152264"/>
    <w:rsid w:val="001705C9"/>
    <w:rsid w:val="00170D87"/>
    <w:rsid w:val="00176A1C"/>
    <w:rsid w:val="00177D49"/>
    <w:rsid w:val="00182189"/>
    <w:rsid w:val="00183022"/>
    <w:rsid w:val="001A5475"/>
    <w:rsid w:val="001A645E"/>
    <w:rsid w:val="001B645F"/>
    <w:rsid w:val="001C065C"/>
    <w:rsid w:val="001C57A5"/>
    <w:rsid w:val="001D7494"/>
    <w:rsid w:val="001E12A5"/>
    <w:rsid w:val="002009F6"/>
    <w:rsid w:val="00202565"/>
    <w:rsid w:val="00202702"/>
    <w:rsid w:val="00222B86"/>
    <w:rsid w:val="00225136"/>
    <w:rsid w:val="00235870"/>
    <w:rsid w:val="002506F6"/>
    <w:rsid w:val="002739FB"/>
    <w:rsid w:val="0027439A"/>
    <w:rsid w:val="00277633"/>
    <w:rsid w:val="0028051C"/>
    <w:rsid w:val="00283C56"/>
    <w:rsid w:val="00286019"/>
    <w:rsid w:val="00291D22"/>
    <w:rsid w:val="002A70D9"/>
    <w:rsid w:val="002B7443"/>
    <w:rsid w:val="002C4808"/>
    <w:rsid w:val="002C4FD7"/>
    <w:rsid w:val="002C51BC"/>
    <w:rsid w:val="002D7520"/>
    <w:rsid w:val="002E2CA2"/>
    <w:rsid w:val="002E5125"/>
    <w:rsid w:val="00307C9E"/>
    <w:rsid w:val="00312B2C"/>
    <w:rsid w:val="00321A19"/>
    <w:rsid w:val="003457D2"/>
    <w:rsid w:val="0035045F"/>
    <w:rsid w:val="00355A2A"/>
    <w:rsid w:val="0037667F"/>
    <w:rsid w:val="00382AB6"/>
    <w:rsid w:val="00383712"/>
    <w:rsid w:val="003C2647"/>
    <w:rsid w:val="003C3CA5"/>
    <w:rsid w:val="003C62D6"/>
    <w:rsid w:val="003D2399"/>
    <w:rsid w:val="003E4A92"/>
    <w:rsid w:val="003F6A45"/>
    <w:rsid w:val="00400DF2"/>
    <w:rsid w:val="0040289D"/>
    <w:rsid w:val="00432346"/>
    <w:rsid w:val="00447F3A"/>
    <w:rsid w:val="0047080D"/>
    <w:rsid w:val="00474485"/>
    <w:rsid w:val="004759D9"/>
    <w:rsid w:val="00482155"/>
    <w:rsid w:val="0049068A"/>
    <w:rsid w:val="00493D23"/>
    <w:rsid w:val="004A3FC8"/>
    <w:rsid w:val="004A4735"/>
    <w:rsid w:val="004C0149"/>
    <w:rsid w:val="00503B57"/>
    <w:rsid w:val="005145BB"/>
    <w:rsid w:val="00517BFD"/>
    <w:rsid w:val="0054471F"/>
    <w:rsid w:val="005461F3"/>
    <w:rsid w:val="00547118"/>
    <w:rsid w:val="00547AC9"/>
    <w:rsid w:val="0056509B"/>
    <w:rsid w:val="00566A0D"/>
    <w:rsid w:val="00567BE0"/>
    <w:rsid w:val="0057320E"/>
    <w:rsid w:val="00592740"/>
    <w:rsid w:val="005A7F6F"/>
    <w:rsid w:val="005B1348"/>
    <w:rsid w:val="005B32ED"/>
    <w:rsid w:val="005B6EED"/>
    <w:rsid w:val="005C06EE"/>
    <w:rsid w:val="005C2BDD"/>
    <w:rsid w:val="005C2CF8"/>
    <w:rsid w:val="005C47A8"/>
    <w:rsid w:val="005E17DA"/>
    <w:rsid w:val="005E406E"/>
    <w:rsid w:val="005F0B12"/>
    <w:rsid w:val="005F5F51"/>
    <w:rsid w:val="00601C69"/>
    <w:rsid w:val="00616BCC"/>
    <w:rsid w:val="00624261"/>
    <w:rsid w:val="00630987"/>
    <w:rsid w:val="00633E48"/>
    <w:rsid w:val="00646AF9"/>
    <w:rsid w:val="00656AB8"/>
    <w:rsid w:val="006609B6"/>
    <w:rsid w:val="00667845"/>
    <w:rsid w:val="00676CB9"/>
    <w:rsid w:val="006803E9"/>
    <w:rsid w:val="00682805"/>
    <w:rsid w:val="0068699D"/>
    <w:rsid w:val="006A353C"/>
    <w:rsid w:val="006A3DD7"/>
    <w:rsid w:val="006A56FC"/>
    <w:rsid w:val="006B0DBE"/>
    <w:rsid w:val="006B2D1C"/>
    <w:rsid w:val="006C1E1F"/>
    <w:rsid w:val="006D0A19"/>
    <w:rsid w:val="006E6FB5"/>
    <w:rsid w:val="006F1CF3"/>
    <w:rsid w:val="007050F5"/>
    <w:rsid w:val="007064D5"/>
    <w:rsid w:val="00706525"/>
    <w:rsid w:val="0071107E"/>
    <w:rsid w:val="0071140F"/>
    <w:rsid w:val="00716DD4"/>
    <w:rsid w:val="00721383"/>
    <w:rsid w:val="00722C8F"/>
    <w:rsid w:val="007252F0"/>
    <w:rsid w:val="00725D2C"/>
    <w:rsid w:val="00745D51"/>
    <w:rsid w:val="00747E39"/>
    <w:rsid w:val="00752993"/>
    <w:rsid w:val="007531FE"/>
    <w:rsid w:val="00754353"/>
    <w:rsid w:val="00763DE9"/>
    <w:rsid w:val="0076763D"/>
    <w:rsid w:val="00781234"/>
    <w:rsid w:val="007B4EAC"/>
    <w:rsid w:val="007B7AF3"/>
    <w:rsid w:val="007C7A85"/>
    <w:rsid w:val="007E6E1E"/>
    <w:rsid w:val="0080303D"/>
    <w:rsid w:val="008073EB"/>
    <w:rsid w:val="00843027"/>
    <w:rsid w:val="00865A43"/>
    <w:rsid w:val="00873917"/>
    <w:rsid w:val="00874837"/>
    <w:rsid w:val="00874EBC"/>
    <w:rsid w:val="0087514A"/>
    <w:rsid w:val="00890CA9"/>
    <w:rsid w:val="008B2E4E"/>
    <w:rsid w:val="008C1FAB"/>
    <w:rsid w:val="008F6E41"/>
    <w:rsid w:val="009211D3"/>
    <w:rsid w:val="00933173"/>
    <w:rsid w:val="00934124"/>
    <w:rsid w:val="00947812"/>
    <w:rsid w:val="00950E48"/>
    <w:rsid w:val="00952A27"/>
    <w:rsid w:val="00954024"/>
    <w:rsid w:val="00971865"/>
    <w:rsid w:val="00977FA5"/>
    <w:rsid w:val="00995BCE"/>
    <w:rsid w:val="009B4D3C"/>
    <w:rsid w:val="009C2015"/>
    <w:rsid w:val="009D2518"/>
    <w:rsid w:val="009D49EA"/>
    <w:rsid w:val="009D7E97"/>
    <w:rsid w:val="009E52CA"/>
    <w:rsid w:val="009F0C19"/>
    <w:rsid w:val="009F4DF9"/>
    <w:rsid w:val="009F5E34"/>
    <w:rsid w:val="009F72E5"/>
    <w:rsid w:val="00A03FFA"/>
    <w:rsid w:val="00A04942"/>
    <w:rsid w:val="00A04B52"/>
    <w:rsid w:val="00A1469B"/>
    <w:rsid w:val="00A14EF5"/>
    <w:rsid w:val="00A26D0F"/>
    <w:rsid w:val="00A3754D"/>
    <w:rsid w:val="00A42D9B"/>
    <w:rsid w:val="00A45595"/>
    <w:rsid w:val="00A507AC"/>
    <w:rsid w:val="00A50A8B"/>
    <w:rsid w:val="00A55D1D"/>
    <w:rsid w:val="00A63D7C"/>
    <w:rsid w:val="00A669E5"/>
    <w:rsid w:val="00A7514C"/>
    <w:rsid w:val="00A8122C"/>
    <w:rsid w:val="00A83312"/>
    <w:rsid w:val="00AA0AC5"/>
    <w:rsid w:val="00AA23F7"/>
    <w:rsid w:val="00AD4383"/>
    <w:rsid w:val="00AE41C4"/>
    <w:rsid w:val="00AF107F"/>
    <w:rsid w:val="00B231B1"/>
    <w:rsid w:val="00B27413"/>
    <w:rsid w:val="00B42A4E"/>
    <w:rsid w:val="00B66E33"/>
    <w:rsid w:val="00B8003A"/>
    <w:rsid w:val="00B92857"/>
    <w:rsid w:val="00BA130F"/>
    <w:rsid w:val="00BD0787"/>
    <w:rsid w:val="00BD3632"/>
    <w:rsid w:val="00C05C55"/>
    <w:rsid w:val="00C076C6"/>
    <w:rsid w:val="00C1247F"/>
    <w:rsid w:val="00C137DA"/>
    <w:rsid w:val="00C13CD8"/>
    <w:rsid w:val="00C20F69"/>
    <w:rsid w:val="00C3113F"/>
    <w:rsid w:val="00C4536F"/>
    <w:rsid w:val="00C4689E"/>
    <w:rsid w:val="00C46ADA"/>
    <w:rsid w:val="00C67B66"/>
    <w:rsid w:val="00C8438D"/>
    <w:rsid w:val="00C85025"/>
    <w:rsid w:val="00C918BD"/>
    <w:rsid w:val="00C94E59"/>
    <w:rsid w:val="00C95743"/>
    <w:rsid w:val="00CA680A"/>
    <w:rsid w:val="00CC05F4"/>
    <w:rsid w:val="00CE0951"/>
    <w:rsid w:val="00CE32DB"/>
    <w:rsid w:val="00CF68A2"/>
    <w:rsid w:val="00CF6FAD"/>
    <w:rsid w:val="00D10E8C"/>
    <w:rsid w:val="00D261B4"/>
    <w:rsid w:val="00D32743"/>
    <w:rsid w:val="00D3779E"/>
    <w:rsid w:val="00D40894"/>
    <w:rsid w:val="00D53134"/>
    <w:rsid w:val="00D679E5"/>
    <w:rsid w:val="00D72B21"/>
    <w:rsid w:val="00D74391"/>
    <w:rsid w:val="00D8316F"/>
    <w:rsid w:val="00D83360"/>
    <w:rsid w:val="00DB72D5"/>
    <w:rsid w:val="00DB7B85"/>
    <w:rsid w:val="00DD0B2B"/>
    <w:rsid w:val="00DD107A"/>
    <w:rsid w:val="00DD31B4"/>
    <w:rsid w:val="00DF20A7"/>
    <w:rsid w:val="00DF7645"/>
    <w:rsid w:val="00E000D6"/>
    <w:rsid w:val="00E03323"/>
    <w:rsid w:val="00E047AD"/>
    <w:rsid w:val="00E04FFB"/>
    <w:rsid w:val="00E12287"/>
    <w:rsid w:val="00E127A1"/>
    <w:rsid w:val="00E13D8E"/>
    <w:rsid w:val="00E15579"/>
    <w:rsid w:val="00E20E6D"/>
    <w:rsid w:val="00E355C2"/>
    <w:rsid w:val="00E403B0"/>
    <w:rsid w:val="00E53B95"/>
    <w:rsid w:val="00E64C4A"/>
    <w:rsid w:val="00E67A05"/>
    <w:rsid w:val="00E74AB7"/>
    <w:rsid w:val="00E7503E"/>
    <w:rsid w:val="00E81FE1"/>
    <w:rsid w:val="00E90203"/>
    <w:rsid w:val="00EA0405"/>
    <w:rsid w:val="00EA4A5D"/>
    <w:rsid w:val="00EB3476"/>
    <w:rsid w:val="00EB752C"/>
    <w:rsid w:val="00ED35D7"/>
    <w:rsid w:val="00ED61AB"/>
    <w:rsid w:val="00EE7047"/>
    <w:rsid w:val="00EE7767"/>
    <w:rsid w:val="00EF4C32"/>
    <w:rsid w:val="00EF69CD"/>
    <w:rsid w:val="00F02126"/>
    <w:rsid w:val="00F07AB3"/>
    <w:rsid w:val="00F262AB"/>
    <w:rsid w:val="00F37AE9"/>
    <w:rsid w:val="00F45F86"/>
    <w:rsid w:val="00F7284D"/>
    <w:rsid w:val="00F81EF9"/>
    <w:rsid w:val="00F87A43"/>
    <w:rsid w:val="00F93679"/>
    <w:rsid w:val="00F94A2B"/>
    <w:rsid w:val="00FA00C6"/>
    <w:rsid w:val="00FA6FDE"/>
    <w:rsid w:val="00FB676A"/>
    <w:rsid w:val="00FC1B6F"/>
    <w:rsid w:val="00FC5F9E"/>
    <w:rsid w:val="00FC77AB"/>
    <w:rsid w:val="00FE10AD"/>
    <w:rsid w:val="00FE52B9"/>
    <w:rsid w:val="00FE7A5F"/>
    <w:rsid w:val="00FF1D5B"/>
    <w:rsid w:val="00FF41CD"/>
    <w:rsid w:val="00FF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Revision">
    <w:name w:val="Revision"/>
    <w:hidden/>
    <w:uiPriority w:val="99"/>
    <w:semiHidden/>
    <w:rsid w:val="007064D5"/>
    <w:rPr>
      <w:rFonts w:ascii="Arial" w:hAnsi="Arial"/>
      <w:sz w:val="22"/>
      <w:szCs w:val="24"/>
    </w:rPr>
  </w:style>
  <w:style w:type="paragraph" w:styleId="ListParagraph">
    <w:name w:val="List Paragraph"/>
    <w:basedOn w:val="Normal"/>
    <w:uiPriority w:val="34"/>
    <w:qFormat/>
    <w:rsid w:val="00225136"/>
    <w:pPr>
      <w:ind w:left="720"/>
      <w:contextualSpacing/>
    </w:pPr>
  </w:style>
  <w:style w:type="paragraph" w:styleId="Footer">
    <w:name w:val="footer"/>
    <w:basedOn w:val="Normal"/>
    <w:link w:val="FooterChar"/>
    <w:rsid w:val="007B4EAC"/>
    <w:pPr>
      <w:tabs>
        <w:tab w:val="center" w:pos="4680"/>
        <w:tab w:val="right" w:pos="9360"/>
      </w:tabs>
    </w:pPr>
  </w:style>
  <w:style w:type="character" w:customStyle="1" w:styleId="FooterChar">
    <w:name w:val="Footer Char"/>
    <w:basedOn w:val="DefaultParagraphFont"/>
    <w:link w:val="Footer"/>
    <w:rsid w:val="007B4EA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1969">
      <w:bodyDiv w:val="1"/>
      <w:marLeft w:val="0"/>
      <w:marRight w:val="0"/>
      <w:marTop w:val="0"/>
      <w:marBottom w:val="0"/>
      <w:divBdr>
        <w:top w:val="none" w:sz="0" w:space="0" w:color="auto"/>
        <w:left w:val="none" w:sz="0" w:space="0" w:color="auto"/>
        <w:bottom w:val="none" w:sz="0" w:space="0" w:color="auto"/>
        <w:right w:val="none" w:sz="0" w:space="0" w:color="auto"/>
      </w:divBdr>
    </w:div>
    <w:div w:id="15264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14594</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Li,Yisheng</cp:lastModifiedBy>
  <cp:revision>3</cp:revision>
  <cp:lastPrinted>2011-03-11T19:43:00Z</cp:lastPrinted>
  <dcterms:created xsi:type="dcterms:W3CDTF">2024-06-04T14:52:00Z</dcterms:created>
  <dcterms:modified xsi:type="dcterms:W3CDTF">2024-06-04T14:57:00Z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