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22" w:rsidRPr="00F40CFF" w:rsidRDefault="009D0222">
      <w:pPr>
        <w:rPr>
          <w:b/>
        </w:rPr>
      </w:pPr>
      <w:proofErr w:type="gramStart"/>
      <w:r w:rsidRPr="00F40CFF">
        <w:rPr>
          <w:b/>
          <w:u w:val="single"/>
        </w:rPr>
        <w:t xml:space="preserve">Thall, </w:t>
      </w:r>
      <w:r w:rsidR="007F6694" w:rsidRPr="00F40CFF">
        <w:rPr>
          <w:b/>
          <w:u w:val="single"/>
        </w:rPr>
        <w:t xml:space="preserve">Homework assignment </w:t>
      </w:r>
      <w:r w:rsidRPr="00F40CFF">
        <w:rPr>
          <w:b/>
          <w:u w:val="single"/>
        </w:rPr>
        <w:t xml:space="preserve">#2 </w:t>
      </w:r>
      <w:r w:rsidR="007F6694" w:rsidRPr="00F40CFF">
        <w:rPr>
          <w:b/>
          <w:u w:val="single"/>
        </w:rPr>
        <w:t>for Stat 630, Spring Semester, 2012</w:t>
      </w:r>
      <w:r w:rsidR="00C45C19" w:rsidRPr="00F40CFF">
        <w:rPr>
          <w:b/>
        </w:rPr>
        <w:t>.</w:t>
      </w:r>
      <w:proofErr w:type="gramEnd"/>
      <w:r w:rsidR="00C45C19" w:rsidRPr="00F40CFF">
        <w:rPr>
          <w:b/>
        </w:rPr>
        <w:t xml:space="preserve"> </w:t>
      </w:r>
    </w:p>
    <w:p w:rsidR="00F376F5" w:rsidRPr="00920A50" w:rsidRDefault="005D7A06" w:rsidP="00F376F5">
      <w:pPr>
        <w:rPr>
          <w:b/>
          <w:u w:val="single"/>
        </w:rPr>
      </w:pPr>
      <w:r w:rsidRPr="00920A50">
        <w:rPr>
          <w:b/>
        </w:rPr>
        <w:t xml:space="preserve">Answer each question precisely </w:t>
      </w:r>
      <w:r w:rsidR="00C45C19" w:rsidRPr="00920A50">
        <w:rPr>
          <w:b/>
        </w:rPr>
        <w:t xml:space="preserve">and completely. </w:t>
      </w:r>
      <w:r w:rsidR="00385A50" w:rsidRPr="00920A50">
        <w:rPr>
          <w:b/>
        </w:rPr>
        <w:t xml:space="preserve"> </w:t>
      </w:r>
      <w:r w:rsidR="00C45C19" w:rsidRPr="00920A50">
        <w:rPr>
          <w:b/>
        </w:rPr>
        <w:t>B</w:t>
      </w:r>
      <w:r w:rsidRPr="00920A50">
        <w:rPr>
          <w:b/>
        </w:rPr>
        <w:t>e as brief as possible</w:t>
      </w:r>
      <w:r w:rsidR="00920A50" w:rsidRPr="00920A50">
        <w:rPr>
          <w:b/>
        </w:rPr>
        <w:t xml:space="preserve">, </w:t>
      </w:r>
      <w:proofErr w:type="gramStart"/>
      <w:r w:rsidR="00920A50" w:rsidRPr="00920A50">
        <w:rPr>
          <w:b/>
        </w:rPr>
        <w:t>but  c</w:t>
      </w:r>
      <w:r w:rsidRPr="00920A50">
        <w:rPr>
          <w:b/>
        </w:rPr>
        <w:t>learly</w:t>
      </w:r>
      <w:proofErr w:type="gramEnd"/>
      <w:r w:rsidRPr="00920A50">
        <w:rPr>
          <w:b/>
        </w:rPr>
        <w:t xml:space="preserve"> define any notation before usi</w:t>
      </w:r>
      <w:r w:rsidR="000974EB" w:rsidRPr="00920A50">
        <w:rPr>
          <w:b/>
        </w:rPr>
        <w:t xml:space="preserve">ng it.  Use clear, complete sentences </w:t>
      </w:r>
      <w:r w:rsidRPr="00920A50">
        <w:rPr>
          <w:b/>
        </w:rPr>
        <w:t>when giving your answers and derivations.</w:t>
      </w:r>
      <w:r w:rsidR="000974EB" w:rsidRPr="00920A50">
        <w:rPr>
          <w:b/>
        </w:rPr>
        <w:t xml:space="preserve">  You may use any references you like, but all of your work must be your own.  </w:t>
      </w:r>
      <w:r w:rsidRPr="00920A50">
        <w:rPr>
          <w:b/>
        </w:rPr>
        <w:t xml:space="preserve">This homework </w:t>
      </w:r>
      <w:r w:rsidR="00A4110E" w:rsidRPr="00920A50">
        <w:rPr>
          <w:b/>
        </w:rPr>
        <w:t xml:space="preserve">assignment </w:t>
      </w:r>
      <w:r w:rsidRPr="00920A50">
        <w:rPr>
          <w:b/>
        </w:rPr>
        <w:t>is due a</w:t>
      </w:r>
      <w:r w:rsidR="000974EB" w:rsidRPr="00920A50">
        <w:rPr>
          <w:b/>
        </w:rPr>
        <w:t>t</w:t>
      </w:r>
      <w:r w:rsidR="009D0222" w:rsidRPr="00920A50">
        <w:rPr>
          <w:b/>
        </w:rPr>
        <w:t xml:space="preserve"> the start of class, </w:t>
      </w:r>
      <w:r w:rsidR="00F40CFF">
        <w:rPr>
          <w:b/>
        </w:rPr>
        <w:t>Tuesday, March 13</w:t>
      </w:r>
      <w:r w:rsidRPr="00920A50">
        <w:rPr>
          <w:b/>
        </w:rPr>
        <w:t>.</w:t>
      </w:r>
    </w:p>
    <w:p w:rsidR="002E7A34" w:rsidRDefault="00276829" w:rsidP="00F376F5">
      <w:pPr>
        <w:rPr>
          <w:rFonts w:ascii="CMR10" w:eastAsia="CMR10" w:hAnsi="CMTT9" w:cs="CMR10"/>
          <w:sz w:val="18"/>
          <w:szCs w:val="18"/>
        </w:rPr>
      </w:pPr>
      <w:r>
        <w:rPr>
          <w:color w:val="000000"/>
        </w:rPr>
        <w:t xml:space="preserve">Apply the Thall-Simon </w:t>
      </w:r>
      <w:proofErr w:type="spellStart"/>
      <w:r>
        <w:rPr>
          <w:color w:val="000000"/>
        </w:rPr>
        <w:t>Estey</w:t>
      </w:r>
      <w:proofErr w:type="spellEnd"/>
      <w:r>
        <w:rPr>
          <w:color w:val="000000"/>
        </w:rPr>
        <w:t xml:space="preserve"> (1995) method to design the following trial. Use the compute</w:t>
      </w:r>
      <w:r w:rsidR="00385A50">
        <w:rPr>
          <w:color w:val="000000"/>
        </w:rPr>
        <w:t>r</w:t>
      </w:r>
      <w:r>
        <w:rPr>
          <w:color w:val="000000"/>
        </w:rPr>
        <w:t xml:space="preserve"> program “multc99” available from </w:t>
      </w:r>
      <w:hyperlink r:id="rId5" w:history="1">
        <w:r w:rsidR="002E7A34" w:rsidRPr="00385A50">
          <w:rPr>
            <w:rStyle w:val="Hyperlink"/>
            <w:rFonts w:ascii="CMTT9" w:hAnsi="CMTT9" w:cs="CMTT9"/>
            <w:sz w:val="24"/>
            <w:szCs w:val="24"/>
          </w:rPr>
          <w:t>http://biostatistics.mdanderson.org/SoftwareDownload</w:t>
        </w:r>
      </w:hyperlink>
    </w:p>
    <w:p w:rsidR="00F376F5" w:rsidRDefault="00926A91" w:rsidP="00F376F5">
      <w:pPr>
        <w:rPr>
          <w:color w:val="000000"/>
        </w:rPr>
      </w:pPr>
      <w:r>
        <w:rPr>
          <w:color w:val="000000"/>
        </w:rPr>
        <w:t xml:space="preserve">1. </w:t>
      </w:r>
      <w:r w:rsidR="00F376F5" w:rsidRPr="00F376F5">
        <w:rPr>
          <w:color w:val="000000"/>
        </w:rPr>
        <w:t xml:space="preserve">A single-arm phase II </w:t>
      </w:r>
      <w:r w:rsidR="00920A50">
        <w:rPr>
          <w:color w:val="000000"/>
        </w:rPr>
        <w:t xml:space="preserve">clinical </w:t>
      </w:r>
      <w:r w:rsidR="00F376F5" w:rsidRPr="00F376F5">
        <w:rPr>
          <w:color w:val="000000"/>
        </w:rPr>
        <w:t>trial</w:t>
      </w:r>
      <w:r w:rsidR="00F376F5">
        <w:rPr>
          <w:color w:val="000000"/>
        </w:rPr>
        <w:t xml:space="preserve"> of</w:t>
      </w:r>
      <w:r w:rsidR="00385A50">
        <w:rPr>
          <w:color w:val="000000"/>
        </w:rPr>
        <w:t xml:space="preserve"> the experimental preparative </w:t>
      </w:r>
      <w:proofErr w:type="gramStart"/>
      <w:r w:rsidR="00385A50">
        <w:rPr>
          <w:color w:val="000000"/>
        </w:rPr>
        <w:t xml:space="preserve">regimen  </w:t>
      </w:r>
      <w:r w:rsidR="00F376F5">
        <w:rPr>
          <w:color w:val="000000"/>
        </w:rPr>
        <w:t>intravenous</w:t>
      </w:r>
      <w:proofErr w:type="gramEnd"/>
      <w:r w:rsidR="00F376F5">
        <w:rPr>
          <w:color w:val="000000"/>
        </w:rPr>
        <w:t xml:space="preserve"> </w:t>
      </w:r>
      <w:proofErr w:type="spellStart"/>
      <w:r w:rsidR="00F376F5">
        <w:rPr>
          <w:color w:val="000000"/>
        </w:rPr>
        <w:t>busulfan</w:t>
      </w:r>
      <w:proofErr w:type="spellEnd"/>
      <w:r w:rsidR="00F376F5">
        <w:rPr>
          <w:color w:val="000000"/>
        </w:rPr>
        <w:t xml:space="preserve"> +  </w:t>
      </w:r>
      <w:proofErr w:type="spellStart"/>
      <w:r w:rsidR="00F376F5">
        <w:rPr>
          <w:color w:val="000000"/>
        </w:rPr>
        <w:t>clof</w:t>
      </w:r>
      <w:r w:rsidR="00385A50">
        <w:rPr>
          <w:color w:val="000000"/>
        </w:rPr>
        <w:t>arabine</w:t>
      </w:r>
      <w:proofErr w:type="spellEnd"/>
      <w:r w:rsidR="00385A50">
        <w:rPr>
          <w:color w:val="000000"/>
        </w:rPr>
        <w:t xml:space="preserve"> </w:t>
      </w:r>
      <w:r w:rsidR="00F376F5">
        <w:rPr>
          <w:color w:val="000000"/>
        </w:rPr>
        <w:t xml:space="preserve">for </w:t>
      </w:r>
      <w:r w:rsidR="00F376F5" w:rsidRPr="00F376F5">
        <w:rPr>
          <w:color w:val="000000"/>
        </w:rPr>
        <w:t xml:space="preserve"> allogeneic bone marrow transplantat</w:t>
      </w:r>
      <w:r w:rsidR="00F376F5">
        <w:rPr>
          <w:color w:val="000000"/>
        </w:rPr>
        <w:t>ion  for treatment of acute leukemia</w:t>
      </w:r>
      <w:r w:rsidR="00F376F5" w:rsidRPr="00F376F5">
        <w:rPr>
          <w:color w:val="000000"/>
        </w:rPr>
        <w:t xml:space="preserve"> is to be conducted.   Patients are in first rem</w:t>
      </w:r>
      <w:r w:rsidR="00920A50">
        <w:rPr>
          <w:color w:val="000000"/>
        </w:rPr>
        <w:t>ission and have a matched related</w:t>
      </w:r>
      <w:r w:rsidR="00F376F5" w:rsidRPr="00F376F5">
        <w:rPr>
          <w:color w:val="000000"/>
        </w:rPr>
        <w:t xml:space="preserve"> donor.  The anticipated accrual rate is 20 patients per year. A trial with th</w:t>
      </w:r>
      <w:r w:rsidR="00385A50">
        <w:rPr>
          <w:color w:val="000000"/>
        </w:rPr>
        <w:t>ree years of accrual</w:t>
      </w:r>
      <w:r w:rsidR="00F376F5">
        <w:rPr>
          <w:color w:val="000000"/>
        </w:rPr>
        <w:t xml:space="preserve"> is planned. The five</w:t>
      </w:r>
      <w:r w:rsidR="00F376F5" w:rsidRPr="00F376F5">
        <w:rPr>
          <w:color w:val="000000"/>
        </w:rPr>
        <w:t xml:space="preserve"> patient outcomes of interest</w:t>
      </w:r>
      <w:r w:rsidR="00920A50">
        <w:rPr>
          <w:color w:val="000000"/>
        </w:rPr>
        <w:t>,</w:t>
      </w:r>
      <w:r w:rsidR="00F376F5" w:rsidRPr="00F376F5">
        <w:rPr>
          <w:color w:val="000000"/>
        </w:rPr>
        <w:t xml:space="preserve"> for the purpose of interim monitoring</w:t>
      </w:r>
      <w:r w:rsidR="00F376F5">
        <w:rPr>
          <w:color w:val="000000"/>
        </w:rPr>
        <w:t>, all scored within the first 30 days,</w:t>
      </w:r>
      <w:r w:rsidR="00F376F5" w:rsidRPr="00F376F5">
        <w:rPr>
          <w:color w:val="000000"/>
        </w:rPr>
        <w:t xml:space="preserve"> are </w:t>
      </w:r>
      <w:r w:rsidR="00F376F5">
        <w:rPr>
          <w:color w:val="000000"/>
        </w:rPr>
        <w:t>as follows:</w:t>
      </w:r>
    </w:p>
    <w:tbl>
      <w:tblPr>
        <w:tblStyle w:val="TableGrid"/>
        <w:tblW w:w="0" w:type="auto"/>
        <w:tblLook w:val="04A0"/>
      </w:tblPr>
      <w:tblGrid>
        <w:gridCol w:w="2496"/>
        <w:gridCol w:w="2435"/>
        <w:gridCol w:w="2435"/>
        <w:gridCol w:w="2210"/>
      </w:tblGrid>
      <w:tr w:rsidR="00F376F5" w:rsidTr="00F376F5">
        <w:tc>
          <w:tcPr>
            <w:tcW w:w="7366" w:type="dxa"/>
            <w:gridSpan w:val="3"/>
          </w:tcPr>
          <w:p w:rsidR="00F376F5" w:rsidRDefault="00F376F5" w:rsidP="00F3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ALIVE</w:t>
            </w:r>
          </w:p>
        </w:tc>
        <w:tc>
          <w:tcPr>
            <w:tcW w:w="2210" w:type="dxa"/>
            <w:vMerge w:val="restart"/>
          </w:tcPr>
          <w:p w:rsidR="00F376F5" w:rsidRDefault="00F376F5" w:rsidP="00F376F5">
            <w:pPr>
              <w:jc w:val="center"/>
              <w:rPr>
                <w:color w:val="000000"/>
              </w:rPr>
            </w:pPr>
          </w:p>
          <w:p w:rsidR="00F376F5" w:rsidRDefault="00F376F5" w:rsidP="00F3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DEAD</w:t>
            </w:r>
          </w:p>
          <w:p w:rsidR="00F376F5" w:rsidRDefault="00F376F5" w:rsidP="00F3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(50)</w:t>
            </w:r>
          </w:p>
        </w:tc>
      </w:tr>
      <w:tr w:rsidR="00F376F5" w:rsidTr="00F376F5">
        <w:tc>
          <w:tcPr>
            <w:tcW w:w="2496" w:type="dxa"/>
          </w:tcPr>
          <w:p w:rsidR="00F376F5" w:rsidRDefault="00F376F5" w:rsidP="00F376F5">
            <w:pPr>
              <w:jc w:val="center"/>
              <w:rPr>
                <w:color w:val="000000"/>
              </w:rPr>
            </w:pPr>
          </w:p>
        </w:tc>
        <w:tc>
          <w:tcPr>
            <w:tcW w:w="2435" w:type="dxa"/>
          </w:tcPr>
          <w:p w:rsidR="00F376F5" w:rsidRDefault="00F376F5" w:rsidP="00F3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Toxicity</w:t>
            </w:r>
          </w:p>
        </w:tc>
        <w:tc>
          <w:tcPr>
            <w:tcW w:w="2435" w:type="dxa"/>
          </w:tcPr>
          <w:p w:rsidR="00F376F5" w:rsidRDefault="00F376F5" w:rsidP="00F3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 Toxicity</w:t>
            </w:r>
          </w:p>
        </w:tc>
        <w:tc>
          <w:tcPr>
            <w:tcW w:w="2210" w:type="dxa"/>
            <w:vMerge/>
          </w:tcPr>
          <w:p w:rsidR="00F376F5" w:rsidRDefault="00F376F5" w:rsidP="00F376F5">
            <w:pPr>
              <w:jc w:val="center"/>
              <w:rPr>
                <w:color w:val="000000"/>
              </w:rPr>
            </w:pPr>
          </w:p>
        </w:tc>
      </w:tr>
      <w:tr w:rsidR="00F376F5" w:rsidTr="00F376F5">
        <w:tc>
          <w:tcPr>
            <w:tcW w:w="2496" w:type="dxa"/>
          </w:tcPr>
          <w:p w:rsidR="00F376F5" w:rsidRDefault="00F376F5" w:rsidP="00F376F5">
            <w:pPr>
              <w:rPr>
                <w:color w:val="000000"/>
              </w:rPr>
            </w:pPr>
            <w:r>
              <w:rPr>
                <w:color w:val="000000"/>
              </w:rPr>
              <w:t>Engrafted</w:t>
            </w:r>
          </w:p>
        </w:tc>
        <w:tc>
          <w:tcPr>
            <w:tcW w:w="2435" w:type="dxa"/>
          </w:tcPr>
          <w:p w:rsidR="00F376F5" w:rsidRDefault="00276829" w:rsidP="00F376F5">
            <w:pPr>
              <w:rPr>
                <w:color w:val="000000"/>
              </w:rPr>
            </w:pPr>
            <w:r>
              <w:rPr>
                <w:color w:val="000000"/>
              </w:rPr>
              <w:t>E and T (5</w:t>
            </w:r>
            <w:r w:rsidR="00F376F5">
              <w:rPr>
                <w:color w:val="000000"/>
              </w:rPr>
              <w:t>0)</w:t>
            </w:r>
          </w:p>
        </w:tc>
        <w:tc>
          <w:tcPr>
            <w:tcW w:w="2435" w:type="dxa"/>
          </w:tcPr>
          <w:p w:rsidR="00F376F5" w:rsidRDefault="00276829" w:rsidP="00F376F5">
            <w:pPr>
              <w:rPr>
                <w:color w:val="000000"/>
              </w:rPr>
            </w:pPr>
            <w:r>
              <w:rPr>
                <w:color w:val="000000"/>
              </w:rPr>
              <w:t>E and No T  (10</w:t>
            </w:r>
            <w:r w:rsidR="00F376F5">
              <w:rPr>
                <w:color w:val="000000"/>
              </w:rPr>
              <w:t>0)</w:t>
            </w:r>
          </w:p>
        </w:tc>
        <w:tc>
          <w:tcPr>
            <w:tcW w:w="2210" w:type="dxa"/>
            <w:vMerge/>
          </w:tcPr>
          <w:p w:rsidR="00F376F5" w:rsidRDefault="00F376F5" w:rsidP="00F376F5">
            <w:pPr>
              <w:rPr>
                <w:color w:val="000000"/>
              </w:rPr>
            </w:pPr>
          </w:p>
        </w:tc>
      </w:tr>
      <w:tr w:rsidR="00F376F5" w:rsidTr="00F376F5">
        <w:tc>
          <w:tcPr>
            <w:tcW w:w="2496" w:type="dxa"/>
          </w:tcPr>
          <w:p w:rsidR="00F376F5" w:rsidRDefault="00F376F5" w:rsidP="00F376F5">
            <w:pPr>
              <w:rPr>
                <w:color w:val="000000"/>
              </w:rPr>
            </w:pPr>
            <w:r>
              <w:rPr>
                <w:color w:val="000000"/>
              </w:rPr>
              <w:t>Not Engrafted</w:t>
            </w:r>
          </w:p>
        </w:tc>
        <w:tc>
          <w:tcPr>
            <w:tcW w:w="2435" w:type="dxa"/>
          </w:tcPr>
          <w:p w:rsidR="00F376F5" w:rsidRDefault="00F376F5" w:rsidP="00F376F5">
            <w:pPr>
              <w:rPr>
                <w:color w:val="000000"/>
              </w:rPr>
            </w:pPr>
            <w:r>
              <w:rPr>
                <w:color w:val="000000"/>
              </w:rPr>
              <w:t>No E and T (20)</w:t>
            </w:r>
          </w:p>
        </w:tc>
        <w:tc>
          <w:tcPr>
            <w:tcW w:w="2435" w:type="dxa"/>
          </w:tcPr>
          <w:p w:rsidR="00F376F5" w:rsidRDefault="00F376F5" w:rsidP="00F376F5">
            <w:pPr>
              <w:rPr>
                <w:color w:val="000000"/>
              </w:rPr>
            </w:pPr>
            <w:r>
              <w:rPr>
                <w:color w:val="000000"/>
              </w:rPr>
              <w:t>No E and No T  (30)</w:t>
            </w:r>
          </w:p>
        </w:tc>
        <w:tc>
          <w:tcPr>
            <w:tcW w:w="2210" w:type="dxa"/>
            <w:vMerge/>
          </w:tcPr>
          <w:p w:rsidR="00F376F5" w:rsidRDefault="00F376F5" w:rsidP="00F376F5">
            <w:pPr>
              <w:rPr>
                <w:color w:val="000000"/>
              </w:rPr>
            </w:pPr>
          </w:p>
        </w:tc>
      </w:tr>
    </w:tbl>
    <w:p w:rsidR="00F376F5" w:rsidRDefault="00F376F5" w:rsidP="00F376F5">
      <w:pPr>
        <w:rPr>
          <w:color w:val="000000"/>
        </w:rPr>
      </w:pPr>
    </w:p>
    <w:p w:rsidR="00F376F5" w:rsidRDefault="00F376F5" w:rsidP="00385A50">
      <w:pPr>
        <w:rPr>
          <w:color w:val="000000"/>
        </w:rPr>
      </w:pPr>
      <w:r>
        <w:rPr>
          <w:color w:val="000000"/>
        </w:rPr>
        <w:t>The counts of the 5 events using the historical “standard” preparative</w:t>
      </w:r>
      <w:r w:rsidR="00385A50">
        <w:rPr>
          <w:color w:val="000000"/>
        </w:rPr>
        <w:t xml:space="preserve"> regime S are given</w:t>
      </w:r>
      <w:r>
        <w:rPr>
          <w:color w:val="000000"/>
        </w:rPr>
        <w:t xml:space="preserve"> in the cells in parentheses.</w:t>
      </w:r>
      <w:r w:rsidR="00276829">
        <w:rPr>
          <w:color w:val="000000"/>
        </w:rPr>
        <w:t xml:space="preserve">  </w:t>
      </w:r>
    </w:p>
    <w:p w:rsidR="00F376F5" w:rsidRPr="00926A91" w:rsidRDefault="00F376F5" w:rsidP="00926A91">
      <w:pPr>
        <w:pStyle w:val="ListParagraph"/>
        <w:numPr>
          <w:ilvl w:val="0"/>
          <w:numId w:val="9"/>
        </w:numPr>
        <w:spacing w:after="0" w:line="240" w:lineRule="auto"/>
        <w:rPr>
          <w:color w:val="000000"/>
        </w:rPr>
      </w:pPr>
      <w:r>
        <w:t xml:space="preserve">Summarize the disease, treatment, outcomes, </w:t>
      </w:r>
      <w:r w:rsidR="00385A50">
        <w:t xml:space="preserve">and </w:t>
      </w:r>
      <w:r>
        <w:t>probability model</w:t>
      </w:r>
      <w:r w:rsidR="00920A50">
        <w:t xml:space="preserve"> (likelihood and prior for both the experimental and standard regimens)</w:t>
      </w:r>
      <w:r>
        <w:t>.</w:t>
      </w:r>
    </w:p>
    <w:p w:rsidR="00F376F5" w:rsidRDefault="00F376F5" w:rsidP="00F376F5">
      <w:pPr>
        <w:widowControl w:val="0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88" w:lineRule="exact"/>
        <w:rPr>
          <w:color w:val="000000"/>
        </w:rPr>
      </w:pPr>
      <w:r>
        <w:rPr>
          <w:color w:val="000000"/>
        </w:rPr>
        <w:t>Construct a design with early stopp</w:t>
      </w:r>
      <w:r w:rsidR="00276829">
        <w:rPr>
          <w:color w:val="000000"/>
        </w:rPr>
        <w:t xml:space="preserve">ing rules to monitor </w:t>
      </w:r>
    </w:p>
    <w:p w:rsidR="00276829" w:rsidRDefault="00276829" w:rsidP="00276829">
      <w:pPr>
        <w:pStyle w:val="ListParagraph"/>
        <w:widowControl w:val="0"/>
        <w:numPr>
          <w:ilvl w:val="0"/>
          <w:numId w:val="12"/>
        </w:numPr>
        <w:tabs>
          <w:tab w:val="left" w:pos="-1440"/>
          <w:tab w:val="left" w:pos="-720"/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88" w:lineRule="exact"/>
        <w:rPr>
          <w:color w:val="000000"/>
        </w:rPr>
      </w:pPr>
      <w:r>
        <w:rPr>
          <w:color w:val="000000"/>
        </w:rPr>
        <w:t>Pr(Death), with no slippage</w:t>
      </w:r>
    </w:p>
    <w:p w:rsidR="00276829" w:rsidRDefault="00276829" w:rsidP="00276829">
      <w:pPr>
        <w:pStyle w:val="ListParagraph"/>
        <w:widowControl w:val="0"/>
        <w:numPr>
          <w:ilvl w:val="0"/>
          <w:numId w:val="12"/>
        </w:numPr>
        <w:tabs>
          <w:tab w:val="left" w:pos="-1440"/>
          <w:tab w:val="left" w:pos="-720"/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88" w:lineRule="exact"/>
        <w:rPr>
          <w:color w:val="000000"/>
        </w:rPr>
      </w:pPr>
      <w:r>
        <w:rPr>
          <w:color w:val="000000"/>
        </w:rPr>
        <w:t>Pr(Engrafted), targeting an improvement of .15</w:t>
      </w:r>
    </w:p>
    <w:p w:rsidR="00276829" w:rsidRPr="00276829" w:rsidRDefault="00276829" w:rsidP="00276829">
      <w:pPr>
        <w:pStyle w:val="ListParagraph"/>
        <w:widowControl w:val="0"/>
        <w:numPr>
          <w:ilvl w:val="0"/>
          <w:numId w:val="12"/>
        </w:numPr>
        <w:tabs>
          <w:tab w:val="left" w:pos="-1440"/>
          <w:tab w:val="left" w:pos="-720"/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88" w:lineRule="exact"/>
        <w:rPr>
          <w:color w:val="000000"/>
        </w:rPr>
      </w:pPr>
      <w:r>
        <w:rPr>
          <w:color w:val="000000"/>
        </w:rPr>
        <w:t xml:space="preserve">Pr(Toxicity), allowing a slippage of .05  </w:t>
      </w:r>
      <w:r w:rsidRPr="00276829">
        <w:rPr>
          <w:color w:val="000000"/>
        </w:rPr>
        <w:t xml:space="preserve"> </w:t>
      </w:r>
    </w:p>
    <w:p w:rsidR="00385A50" w:rsidRDefault="00385A50" w:rsidP="00F376F5">
      <w:pPr>
        <w:widowControl w:val="0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88" w:lineRule="exact"/>
        <w:rPr>
          <w:color w:val="000000"/>
        </w:rPr>
      </w:pPr>
      <w:r>
        <w:rPr>
          <w:color w:val="000000"/>
        </w:rPr>
        <w:t xml:space="preserve">Construct a set of six scenarios for simulation study. </w:t>
      </w:r>
    </w:p>
    <w:p w:rsidR="00F376F5" w:rsidRDefault="00385A50" w:rsidP="00F376F5">
      <w:pPr>
        <w:widowControl w:val="0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88" w:lineRule="exact"/>
        <w:rPr>
          <w:color w:val="000000"/>
        </w:rPr>
      </w:pPr>
      <w:r>
        <w:rPr>
          <w:color w:val="000000"/>
        </w:rPr>
        <w:t>Under each scenario, e</w:t>
      </w:r>
      <w:r w:rsidR="00F376F5">
        <w:rPr>
          <w:color w:val="000000"/>
        </w:rPr>
        <w:t xml:space="preserve">xamine </w:t>
      </w:r>
      <w:r>
        <w:rPr>
          <w:color w:val="000000"/>
        </w:rPr>
        <w:t xml:space="preserve">three </w:t>
      </w:r>
      <w:r w:rsidR="00F376F5">
        <w:rPr>
          <w:color w:val="000000"/>
        </w:rPr>
        <w:t>designs with a maximum sample size of N= 60 and cohort sizes of 5, 10</w:t>
      </w:r>
      <w:r>
        <w:rPr>
          <w:color w:val="000000"/>
        </w:rPr>
        <w:t>,</w:t>
      </w:r>
      <w:r w:rsidR="00F376F5">
        <w:rPr>
          <w:color w:val="000000"/>
        </w:rPr>
        <w:t xml:space="preserve"> or 20. </w:t>
      </w:r>
      <w:r>
        <w:rPr>
          <w:color w:val="000000"/>
        </w:rPr>
        <w:t xml:space="preserve">For each design, calibrate the design’s stopping rule parameters so that the design has good overall properties.  </w:t>
      </w:r>
      <w:r w:rsidR="00920A50">
        <w:rPr>
          <w:color w:val="000000"/>
        </w:rPr>
        <w:t xml:space="preserve">For each design, give the final stopping rules explicitly.   </w:t>
      </w:r>
    </w:p>
    <w:p w:rsidR="00F376F5" w:rsidRDefault="00F376F5" w:rsidP="00F376F5">
      <w:pPr>
        <w:widowControl w:val="0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88" w:lineRule="exact"/>
        <w:rPr>
          <w:color w:val="000000"/>
        </w:rPr>
      </w:pPr>
      <w:r>
        <w:rPr>
          <w:color w:val="000000"/>
        </w:rPr>
        <w:t xml:space="preserve">For one selected scenario, with a cohort size of 10, do a sensitivity analysis in </w:t>
      </w:r>
      <w:r w:rsidR="00276829">
        <w:rPr>
          <w:color w:val="000000"/>
        </w:rPr>
        <w:t xml:space="preserve">maximum sample size </w:t>
      </w:r>
      <w:r>
        <w:rPr>
          <w:color w:val="000000"/>
        </w:rPr>
        <w:t>N= 40, 50, 60, 70, 80.</w:t>
      </w:r>
    </w:p>
    <w:p w:rsidR="00926A91" w:rsidRDefault="00926A91" w:rsidP="00385A50">
      <w:pPr>
        <w:rPr>
          <w:u w:val="single"/>
        </w:rPr>
      </w:pPr>
    </w:p>
    <w:p w:rsidR="00926A91" w:rsidRPr="00926A91" w:rsidRDefault="00926A91" w:rsidP="00385A50">
      <w:r>
        <w:t xml:space="preserve">2.  </w:t>
      </w:r>
      <w:r w:rsidRPr="00926A91">
        <w:t xml:space="preserve">Now construct a greatly simplified design </w:t>
      </w:r>
      <w:r>
        <w:t>by</w:t>
      </w:r>
      <w:r w:rsidR="00920A50">
        <w:t xml:space="preserve"> defining S</w:t>
      </w:r>
      <w:r>
        <w:t>uccess = [alive and engrafted without toxicity</w:t>
      </w:r>
      <w:r w:rsidR="00920A50">
        <w:t xml:space="preserve"> at day 30] </w:t>
      </w:r>
      <w:r>
        <w:t xml:space="preserve">and using ONE futility monitoring rule for </w:t>
      </w:r>
      <w:proofErr w:type="gramStart"/>
      <w:r>
        <w:t>Pr(</w:t>
      </w:r>
      <w:proofErr w:type="gramEnd"/>
      <w:r w:rsidR="00920A50">
        <w:t>S</w:t>
      </w:r>
      <w:r>
        <w:t xml:space="preserve">uccess).  Give the </w:t>
      </w:r>
      <w:r w:rsidR="00920A50">
        <w:t xml:space="preserve">probability </w:t>
      </w:r>
      <w:r>
        <w:t xml:space="preserve">model </w:t>
      </w:r>
      <w:r w:rsidR="00920A50">
        <w:t xml:space="preserve">and method </w:t>
      </w:r>
      <w:r>
        <w:t xml:space="preserve">for this simplified design, simulate it under three scenarios, and do a sensitivity analysis in maximum sample size as in 1e above. </w:t>
      </w:r>
    </w:p>
    <w:p w:rsidR="009D0222" w:rsidRPr="00276829" w:rsidRDefault="00926A91" w:rsidP="00385A50">
      <w:pPr>
        <w:rPr>
          <w:u w:val="single"/>
        </w:rPr>
      </w:pPr>
      <w:r>
        <w:rPr>
          <w:u w:val="single"/>
        </w:rPr>
        <w:br/>
      </w:r>
    </w:p>
    <w:sectPr w:rsidR="009D0222" w:rsidRPr="00276829" w:rsidSect="00A04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MR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MTT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408"/>
    <w:multiLevelType w:val="hybridMultilevel"/>
    <w:tmpl w:val="147411D4"/>
    <w:lvl w:ilvl="0" w:tplc="574A3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03A5C"/>
    <w:multiLevelType w:val="hybridMultilevel"/>
    <w:tmpl w:val="31C0F9BA"/>
    <w:lvl w:ilvl="0" w:tplc="8FC4E9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E718C"/>
    <w:multiLevelType w:val="hybridMultilevel"/>
    <w:tmpl w:val="ED0A4A14"/>
    <w:lvl w:ilvl="0" w:tplc="697671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9E141A"/>
    <w:multiLevelType w:val="hybridMultilevel"/>
    <w:tmpl w:val="FE0472B8"/>
    <w:lvl w:ilvl="0" w:tplc="8D30F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FC55C1"/>
    <w:multiLevelType w:val="hybridMultilevel"/>
    <w:tmpl w:val="07023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91FAA"/>
    <w:multiLevelType w:val="hybridMultilevel"/>
    <w:tmpl w:val="EB5C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538FD"/>
    <w:multiLevelType w:val="hybridMultilevel"/>
    <w:tmpl w:val="981E4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3397D"/>
    <w:multiLevelType w:val="hybridMultilevel"/>
    <w:tmpl w:val="0C58F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1375C"/>
    <w:multiLevelType w:val="hybridMultilevel"/>
    <w:tmpl w:val="EB5C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96949"/>
    <w:multiLevelType w:val="hybridMultilevel"/>
    <w:tmpl w:val="8394229A"/>
    <w:lvl w:ilvl="0" w:tplc="ACAE2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B94CC3"/>
    <w:multiLevelType w:val="hybridMultilevel"/>
    <w:tmpl w:val="1BE0CCC8"/>
    <w:lvl w:ilvl="0" w:tplc="4B86A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D95CA6"/>
    <w:multiLevelType w:val="hybridMultilevel"/>
    <w:tmpl w:val="08C48C9A"/>
    <w:lvl w:ilvl="0" w:tplc="48843C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6012"/>
    <w:rsid w:val="000974EB"/>
    <w:rsid w:val="000C5688"/>
    <w:rsid w:val="0011215A"/>
    <w:rsid w:val="00181708"/>
    <w:rsid w:val="0020464B"/>
    <w:rsid w:val="00243DB3"/>
    <w:rsid w:val="00264EB2"/>
    <w:rsid w:val="00272CA7"/>
    <w:rsid w:val="00276829"/>
    <w:rsid w:val="002E7A34"/>
    <w:rsid w:val="00385A50"/>
    <w:rsid w:val="00443DB4"/>
    <w:rsid w:val="004D2B50"/>
    <w:rsid w:val="00520FBF"/>
    <w:rsid w:val="00576793"/>
    <w:rsid w:val="005D7A06"/>
    <w:rsid w:val="00756012"/>
    <w:rsid w:val="007F6694"/>
    <w:rsid w:val="008A4B6B"/>
    <w:rsid w:val="00920A50"/>
    <w:rsid w:val="00926A91"/>
    <w:rsid w:val="009D0222"/>
    <w:rsid w:val="00A04938"/>
    <w:rsid w:val="00A4110E"/>
    <w:rsid w:val="00C31536"/>
    <w:rsid w:val="00C45C19"/>
    <w:rsid w:val="00C750B0"/>
    <w:rsid w:val="00CF7FA8"/>
    <w:rsid w:val="00F376F5"/>
    <w:rsid w:val="00F40CFF"/>
    <w:rsid w:val="00F63071"/>
    <w:rsid w:val="00F8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0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37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7A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ostatistics.mdanderson.org/Software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MDACC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F. Thall</dc:creator>
  <cp:keywords/>
  <dc:description/>
  <cp:lastModifiedBy>Peter F. Thall</cp:lastModifiedBy>
  <cp:revision>7</cp:revision>
  <cp:lastPrinted>2012-03-07T18:18:00Z</cp:lastPrinted>
  <dcterms:created xsi:type="dcterms:W3CDTF">2012-03-07T17:22:00Z</dcterms:created>
  <dcterms:modified xsi:type="dcterms:W3CDTF">2012-03-07T18:20:00Z</dcterms:modified>
</cp:coreProperties>
</file>